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6F" w:rsidRPr="00C07D46" w:rsidRDefault="00C26D6F" w:rsidP="00C26D6F">
      <w:pPr>
        <w:jc w:val="center"/>
        <w:rPr>
          <w:b/>
          <w:sz w:val="20"/>
        </w:rPr>
      </w:pPr>
    </w:p>
    <w:p w:rsidR="00C26D6F" w:rsidRPr="00C07D46" w:rsidRDefault="00C26D6F" w:rsidP="00C26D6F">
      <w:pPr>
        <w:jc w:val="center"/>
        <w:rPr>
          <w:b/>
          <w:sz w:val="20"/>
        </w:rPr>
      </w:pPr>
    </w:p>
    <w:p w:rsidR="00C26D6F" w:rsidRPr="00C07D46" w:rsidRDefault="00C26D6F" w:rsidP="00C26D6F">
      <w:pPr>
        <w:jc w:val="center"/>
        <w:rPr>
          <w:b/>
          <w:sz w:val="20"/>
        </w:rPr>
      </w:pPr>
    </w:p>
    <w:p w:rsidR="00C26D6F" w:rsidRPr="00C07D46" w:rsidRDefault="00C26D6F" w:rsidP="00C26D6F">
      <w:pPr>
        <w:jc w:val="center"/>
        <w:rPr>
          <w:b/>
          <w:sz w:val="20"/>
        </w:rPr>
      </w:pPr>
    </w:p>
    <w:p w:rsidR="00C26D6F" w:rsidRPr="00C07D46" w:rsidRDefault="00C26D6F" w:rsidP="00C26D6F">
      <w:pPr>
        <w:jc w:val="center"/>
        <w:rPr>
          <w:b/>
          <w:sz w:val="20"/>
        </w:rPr>
      </w:pPr>
    </w:p>
    <w:p w:rsidR="00C26D6F" w:rsidRPr="00C07D46" w:rsidRDefault="00C26D6F" w:rsidP="00C26D6F">
      <w:pPr>
        <w:jc w:val="center"/>
        <w:rPr>
          <w:b/>
          <w:sz w:val="20"/>
        </w:rPr>
      </w:pPr>
    </w:p>
    <w:p w:rsidR="00C26D6F" w:rsidRPr="00C07D46" w:rsidRDefault="00C26D6F" w:rsidP="00C26D6F">
      <w:pPr>
        <w:jc w:val="center"/>
        <w:rPr>
          <w:b/>
          <w:sz w:val="20"/>
        </w:rPr>
      </w:pPr>
    </w:p>
    <w:p w:rsidR="00C26D6F" w:rsidRPr="00C07D46" w:rsidRDefault="00C26D6F" w:rsidP="00C26D6F">
      <w:pPr>
        <w:jc w:val="center"/>
        <w:rPr>
          <w:b/>
          <w:sz w:val="20"/>
        </w:rPr>
      </w:pPr>
    </w:p>
    <w:p w:rsidR="00C26D6F" w:rsidRPr="00C07D46" w:rsidRDefault="00C26D6F" w:rsidP="00C26D6F">
      <w:pPr>
        <w:jc w:val="center"/>
        <w:rPr>
          <w:b/>
          <w:sz w:val="20"/>
        </w:rPr>
      </w:pPr>
    </w:p>
    <w:p w:rsidR="00C26D6F" w:rsidRPr="00C07D46" w:rsidRDefault="00C26D6F" w:rsidP="00364D20">
      <w:pPr>
        <w:pStyle w:val="StyleCentered"/>
      </w:pPr>
      <w:r w:rsidRPr="00C07D46">
        <w:rPr>
          <w:noProof/>
          <w:lang w:eastAsia="en-AU"/>
        </w:rPr>
        <w:drawing>
          <wp:inline distT="0" distB="0" distL="0" distR="0" wp14:anchorId="4D8CF4BB" wp14:editId="33957F47">
            <wp:extent cx="1113155" cy="930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930275"/>
                    </a:xfrm>
                    <a:prstGeom prst="rect">
                      <a:avLst/>
                    </a:prstGeom>
                    <a:noFill/>
                    <a:ln>
                      <a:noFill/>
                    </a:ln>
                  </pic:spPr>
                </pic:pic>
              </a:graphicData>
            </a:graphic>
          </wp:inline>
        </w:drawing>
      </w:r>
    </w:p>
    <w:p w:rsidR="00C26D6F" w:rsidRPr="00C07D46" w:rsidRDefault="00C26D6F" w:rsidP="00C26D6F">
      <w:pPr>
        <w:jc w:val="center"/>
        <w:rPr>
          <w:b/>
        </w:rPr>
      </w:pPr>
    </w:p>
    <w:p w:rsidR="00C26D6F" w:rsidRPr="00C07D46" w:rsidRDefault="00473905" w:rsidP="00C26D6F">
      <w:pPr>
        <w:jc w:val="center"/>
      </w:pPr>
      <w:r w:rsidRPr="00C07D46">
        <w:t>202</w:t>
      </w:r>
      <w:r w:rsidR="00994C77">
        <w:t>3</w:t>
      </w:r>
    </w:p>
    <w:p w:rsidR="00C26D6F" w:rsidRPr="00C07D46" w:rsidRDefault="00C26D6F" w:rsidP="00C26D6F">
      <w:pPr>
        <w:jc w:val="center"/>
      </w:pPr>
    </w:p>
    <w:p w:rsidR="00C26D6F" w:rsidRPr="00C07D46" w:rsidRDefault="00C26D6F" w:rsidP="00C26D6F">
      <w:pPr>
        <w:spacing w:after="120"/>
        <w:jc w:val="center"/>
      </w:pPr>
      <w:r w:rsidRPr="00C07D46">
        <w:t>______________________</w:t>
      </w:r>
    </w:p>
    <w:p w:rsidR="00C26D6F" w:rsidRPr="00C07D46" w:rsidRDefault="008166AC" w:rsidP="00C26D6F">
      <w:pPr>
        <w:jc w:val="center"/>
        <w:rPr>
          <w:smallCaps/>
        </w:rPr>
      </w:pPr>
      <w:r>
        <w:rPr>
          <w:smallCaps/>
        </w:rPr>
        <w:t>Parliament</w:t>
      </w:r>
      <w:r w:rsidR="00C26D6F" w:rsidRPr="00C07D46">
        <w:rPr>
          <w:smallCaps/>
        </w:rPr>
        <w:t xml:space="preserve"> of tasmania</w:t>
      </w:r>
    </w:p>
    <w:p w:rsidR="00C26D6F" w:rsidRPr="00C07D46" w:rsidRDefault="00C26D6F" w:rsidP="00C26D6F">
      <w:pPr>
        <w:jc w:val="center"/>
        <w:rPr>
          <w:smallCaps/>
        </w:rPr>
      </w:pPr>
      <w:r w:rsidRPr="00C07D46">
        <w:rPr>
          <w:smallCaps/>
        </w:rPr>
        <w:t>______________________</w:t>
      </w:r>
    </w:p>
    <w:p w:rsidR="00C26D6F" w:rsidRPr="00C07D46" w:rsidRDefault="00C26D6F" w:rsidP="00C26D6F">
      <w:pPr>
        <w:jc w:val="center"/>
        <w:rPr>
          <w:smallCaps/>
        </w:rPr>
      </w:pPr>
    </w:p>
    <w:p w:rsidR="00C26D6F" w:rsidRPr="00C07D46" w:rsidRDefault="00C26D6F" w:rsidP="00C26D6F">
      <w:pPr>
        <w:jc w:val="center"/>
        <w:rPr>
          <w:smallCaps/>
        </w:rPr>
      </w:pPr>
    </w:p>
    <w:p w:rsidR="00C26D6F" w:rsidRPr="00C07D46" w:rsidRDefault="00C26D6F" w:rsidP="00C26D6F">
      <w:pPr>
        <w:jc w:val="center"/>
        <w:rPr>
          <w:smallCaps/>
        </w:rPr>
      </w:pPr>
    </w:p>
    <w:p w:rsidR="00C26D6F" w:rsidRPr="00C07D46" w:rsidRDefault="00C26D6F" w:rsidP="00C26D6F">
      <w:pPr>
        <w:jc w:val="center"/>
        <w:rPr>
          <w:smallCaps/>
        </w:rPr>
      </w:pPr>
    </w:p>
    <w:p w:rsidR="00C26D6F" w:rsidRPr="00C07D46" w:rsidRDefault="00C26D6F" w:rsidP="00C26D6F">
      <w:pPr>
        <w:jc w:val="center"/>
        <w:rPr>
          <w:smallCaps/>
        </w:rPr>
      </w:pPr>
    </w:p>
    <w:p w:rsidR="00C26D6F" w:rsidRPr="00C07D46" w:rsidRDefault="00C26D6F" w:rsidP="00C26D6F">
      <w:pPr>
        <w:jc w:val="center"/>
        <w:rPr>
          <w:b/>
          <w:sz w:val="44"/>
        </w:rPr>
      </w:pPr>
      <w:r w:rsidRPr="00C07D46">
        <w:rPr>
          <w:b/>
          <w:sz w:val="44"/>
        </w:rPr>
        <w:t>SOLICITOR-GENERAL</w:t>
      </w:r>
    </w:p>
    <w:p w:rsidR="00C26D6F" w:rsidRPr="00C07D46" w:rsidRDefault="00C26D6F" w:rsidP="00C26D6F">
      <w:pPr>
        <w:jc w:val="center"/>
        <w:rPr>
          <w:b/>
          <w:sz w:val="44"/>
        </w:rPr>
      </w:pPr>
    </w:p>
    <w:p w:rsidR="00C26D6F" w:rsidRPr="00C07D46" w:rsidRDefault="00C26D6F" w:rsidP="00C26D6F">
      <w:pPr>
        <w:jc w:val="center"/>
        <w:rPr>
          <w:b/>
          <w:sz w:val="44"/>
        </w:rPr>
      </w:pPr>
    </w:p>
    <w:p w:rsidR="00C26D6F" w:rsidRPr="00C07D46" w:rsidRDefault="00C26D6F" w:rsidP="00C26D6F">
      <w:pPr>
        <w:jc w:val="center"/>
        <w:rPr>
          <w:b/>
          <w:sz w:val="44"/>
        </w:rPr>
      </w:pPr>
    </w:p>
    <w:p w:rsidR="00C26D6F" w:rsidRPr="00C07D46" w:rsidRDefault="00C26D6F" w:rsidP="00364D20">
      <w:pPr>
        <w:pStyle w:val="StyleCentered"/>
        <w:rPr>
          <w:b/>
          <w:sz w:val="40"/>
          <w:szCs w:val="40"/>
        </w:rPr>
      </w:pPr>
      <w:r w:rsidRPr="00C07D46">
        <w:rPr>
          <w:b/>
          <w:sz w:val="40"/>
          <w:szCs w:val="40"/>
        </w:rPr>
        <w:t xml:space="preserve">REPORT FOR </w:t>
      </w:r>
      <w:r w:rsidR="003263E4" w:rsidRPr="00C07D46">
        <w:rPr>
          <w:b/>
          <w:sz w:val="40"/>
          <w:szCs w:val="40"/>
        </w:rPr>
        <w:t>202</w:t>
      </w:r>
      <w:r w:rsidR="006E01C4">
        <w:rPr>
          <w:b/>
          <w:sz w:val="40"/>
          <w:szCs w:val="40"/>
        </w:rPr>
        <w:t>2</w:t>
      </w:r>
      <w:r w:rsidR="003263E4" w:rsidRPr="00C07D46">
        <w:rPr>
          <w:b/>
          <w:sz w:val="40"/>
          <w:szCs w:val="40"/>
        </w:rPr>
        <w:t>-2</w:t>
      </w:r>
      <w:r w:rsidR="006E01C4">
        <w:rPr>
          <w:b/>
          <w:sz w:val="40"/>
          <w:szCs w:val="40"/>
        </w:rPr>
        <w:t>3</w:t>
      </w:r>
    </w:p>
    <w:p w:rsidR="00C26D6F" w:rsidRPr="00C07D46" w:rsidRDefault="00C26D6F" w:rsidP="00C26D6F">
      <w:pPr>
        <w:jc w:val="center"/>
      </w:pPr>
    </w:p>
    <w:p w:rsidR="00C26D6F" w:rsidRPr="00C07D46" w:rsidRDefault="00C26D6F" w:rsidP="00C26D6F">
      <w:pPr>
        <w:jc w:val="center"/>
      </w:pPr>
    </w:p>
    <w:p w:rsidR="00C26D6F" w:rsidRPr="00C07D46" w:rsidRDefault="00C26D6F" w:rsidP="00C26D6F">
      <w:pPr>
        <w:jc w:val="center"/>
      </w:pPr>
    </w:p>
    <w:p w:rsidR="00C26D6F" w:rsidRPr="00C07D46" w:rsidRDefault="00C26D6F" w:rsidP="00C26D6F">
      <w:pPr>
        <w:jc w:val="center"/>
      </w:pPr>
    </w:p>
    <w:p w:rsidR="00C26D6F" w:rsidRPr="00C07D46" w:rsidRDefault="00C26D6F" w:rsidP="00C26D6F">
      <w:pPr>
        <w:jc w:val="center"/>
      </w:pPr>
    </w:p>
    <w:p w:rsidR="00C26D6F" w:rsidRPr="00C07D46" w:rsidRDefault="00C26D6F" w:rsidP="00C26D6F">
      <w:pPr>
        <w:spacing w:after="120"/>
        <w:jc w:val="center"/>
        <w:rPr>
          <w:sz w:val="28"/>
        </w:rPr>
      </w:pPr>
      <w:r w:rsidRPr="00C07D46">
        <w:rPr>
          <w:sz w:val="28"/>
        </w:rPr>
        <w:t>________________</w:t>
      </w:r>
    </w:p>
    <w:p w:rsidR="00C26D6F" w:rsidRPr="00C07D46" w:rsidRDefault="00C26D6F" w:rsidP="00C26D6F">
      <w:pPr>
        <w:jc w:val="center"/>
        <w:rPr>
          <w:i/>
          <w:szCs w:val="24"/>
        </w:rPr>
      </w:pPr>
      <w:r w:rsidRPr="00C07D46">
        <w:rPr>
          <w:i/>
          <w:szCs w:val="24"/>
        </w:rPr>
        <w:t xml:space="preserve">Presented to both Houses of </w:t>
      </w:r>
      <w:r w:rsidR="008166AC">
        <w:rPr>
          <w:i/>
          <w:szCs w:val="24"/>
        </w:rPr>
        <w:t>Parliament</w:t>
      </w:r>
      <w:r w:rsidRPr="00C07D46">
        <w:rPr>
          <w:i/>
          <w:szCs w:val="24"/>
        </w:rPr>
        <w:t xml:space="preserve"> pursuant to </w:t>
      </w:r>
    </w:p>
    <w:p w:rsidR="00C26D6F" w:rsidRPr="00C07D46" w:rsidRDefault="00C26D6F" w:rsidP="00364D20">
      <w:pPr>
        <w:pStyle w:val="StyleCentered"/>
        <w:rPr>
          <w:i/>
        </w:rPr>
      </w:pPr>
      <w:r w:rsidRPr="00C07D46">
        <w:rPr>
          <w:i/>
        </w:rPr>
        <w:t>section 11 of the Solicitor-General Act 1983</w:t>
      </w:r>
    </w:p>
    <w:p w:rsidR="00C26D6F" w:rsidRPr="00C07D46" w:rsidRDefault="00C26D6F" w:rsidP="00C26D6F">
      <w:pPr>
        <w:jc w:val="center"/>
        <w:rPr>
          <w:sz w:val="20"/>
        </w:rPr>
      </w:pPr>
      <w:r w:rsidRPr="00C07D46">
        <w:rPr>
          <w:sz w:val="20"/>
        </w:rPr>
        <w:t>_______________________</w:t>
      </w:r>
    </w:p>
    <w:p w:rsidR="00C26D6F" w:rsidRPr="00C07D46" w:rsidRDefault="00C26D6F" w:rsidP="00C26D6F">
      <w:pPr>
        <w:jc w:val="both"/>
      </w:pPr>
    </w:p>
    <w:p w:rsidR="00C26D6F" w:rsidRPr="00C07D46" w:rsidRDefault="00C26D6F" w:rsidP="00C26D6F">
      <w:pPr>
        <w:jc w:val="both"/>
      </w:pPr>
    </w:p>
    <w:p w:rsidR="00C26D6F" w:rsidRPr="00C07D46" w:rsidRDefault="00C26D6F" w:rsidP="00C26D6F">
      <w:pPr>
        <w:overflowPunct/>
        <w:autoSpaceDE/>
        <w:autoSpaceDN/>
        <w:adjustRightInd/>
        <w:textAlignment w:val="auto"/>
      </w:pPr>
      <w:r w:rsidRPr="00C07D46">
        <w:br w:type="page"/>
      </w:r>
    </w:p>
    <w:p w:rsidR="0079399D" w:rsidRDefault="0079399D" w:rsidP="00994C77">
      <w:pPr>
        <w:pStyle w:val="ParaPlain"/>
        <w:rPr>
          <w:lang w:val="en-AU"/>
        </w:rPr>
      </w:pPr>
    </w:p>
    <w:p w:rsidR="008E0852" w:rsidRDefault="00473905" w:rsidP="00994C77">
      <w:pPr>
        <w:pStyle w:val="ParaPlain"/>
        <w:rPr>
          <w:lang w:val="en-AU"/>
        </w:rPr>
      </w:pPr>
      <w:r w:rsidRPr="00C07D46">
        <w:rPr>
          <w:lang w:val="en-AU"/>
        </w:rPr>
        <w:t xml:space="preserve">In accordance with s 11 of the </w:t>
      </w:r>
      <w:r w:rsidRPr="00C07D46">
        <w:rPr>
          <w:i/>
          <w:iCs/>
          <w:lang w:val="en-AU"/>
        </w:rPr>
        <w:t>Solicitor-General Act 1983</w:t>
      </w:r>
      <w:r w:rsidRPr="00C07D46">
        <w:rPr>
          <w:lang w:val="en-AU"/>
        </w:rPr>
        <w:t xml:space="preserve">, I submit to the Attorney-General my report on the performance and exercise of the functions and powers of </w:t>
      </w:r>
      <w:r w:rsidR="00D37538">
        <w:rPr>
          <w:lang w:val="en-AU"/>
        </w:rPr>
        <w:t>the Office</w:t>
      </w:r>
      <w:r w:rsidRPr="00C07D46">
        <w:rPr>
          <w:lang w:val="en-AU"/>
        </w:rPr>
        <w:t xml:space="preserve"> of Solicitor-General for the relevant period, namely the twelve</w:t>
      </w:r>
      <w:r w:rsidR="00C8010B">
        <w:rPr>
          <w:lang w:val="en-AU"/>
        </w:rPr>
        <w:t>-</w:t>
      </w:r>
      <w:r w:rsidRPr="00C07D46">
        <w:rPr>
          <w:lang w:val="en-AU"/>
        </w:rPr>
        <w:t>month period ending on 30 June 20</w:t>
      </w:r>
      <w:r w:rsidR="008E0852">
        <w:rPr>
          <w:lang w:val="en-AU"/>
        </w:rPr>
        <w:t>2</w:t>
      </w:r>
      <w:r w:rsidR="00994C77">
        <w:rPr>
          <w:lang w:val="en-AU"/>
        </w:rPr>
        <w:t>3.</w:t>
      </w:r>
    </w:p>
    <w:p w:rsidR="00766ED7" w:rsidRDefault="00766ED7" w:rsidP="00473905">
      <w:pPr>
        <w:pStyle w:val="Heading1"/>
      </w:pPr>
      <w:r>
        <w:t>SUMMARY</w:t>
      </w:r>
    </w:p>
    <w:p w:rsidR="00B2777F" w:rsidRDefault="00B2777F" w:rsidP="002B6778">
      <w:pPr>
        <w:jc w:val="both"/>
      </w:pPr>
      <w:r>
        <w:t xml:space="preserve">The Office of Solicitor-General has once again worked hard </w:t>
      </w:r>
      <w:r w:rsidR="00FC5AAF" w:rsidRPr="00FC5AAF">
        <w:t xml:space="preserve">during the relevant period </w:t>
      </w:r>
      <w:r>
        <w:t>to provide</w:t>
      </w:r>
      <w:r w:rsidR="00F30E30">
        <w:t xml:space="preserve"> high</w:t>
      </w:r>
      <w:r>
        <w:t xml:space="preserve"> quali</w:t>
      </w:r>
      <w:r w:rsidR="00DB58BA">
        <w:t xml:space="preserve">ty legal services to the State. </w:t>
      </w:r>
      <w:r>
        <w:t xml:space="preserve">I wish to thank all members of staff for their diligence, professionalism, good humour and patience during a </w:t>
      </w:r>
      <w:r w:rsidR="00276609">
        <w:t>demanding year</w:t>
      </w:r>
      <w:r>
        <w:t xml:space="preserve"> and against the backdrop of </w:t>
      </w:r>
      <w:r w:rsidR="00FC5AAF">
        <w:t xml:space="preserve">the Commission of Inquiry and </w:t>
      </w:r>
      <w:r w:rsidR="00B33264">
        <w:t xml:space="preserve">the </w:t>
      </w:r>
      <w:r>
        <w:t xml:space="preserve">anticipated structural changes following the announcement </w:t>
      </w:r>
      <w:r w:rsidR="00276609">
        <w:t>earlier this year</w:t>
      </w:r>
      <w:r>
        <w:t xml:space="preserve"> that the litigation functions of the Office would be assumed by a newly established </w:t>
      </w:r>
      <w:r w:rsidR="00276609">
        <w:t>State Litigation Office</w:t>
      </w:r>
      <w:r>
        <w:t xml:space="preserve">. </w:t>
      </w:r>
    </w:p>
    <w:p w:rsidR="00B2777F" w:rsidRDefault="00B2777F" w:rsidP="002B6778">
      <w:pPr>
        <w:jc w:val="both"/>
      </w:pPr>
    </w:p>
    <w:p w:rsidR="00337D7F" w:rsidRDefault="00276609" w:rsidP="00276609">
      <w:pPr>
        <w:jc w:val="both"/>
      </w:pPr>
      <w:r>
        <w:t>Resourcing and recruitment continue to present challenges</w:t>
      </w:r>
      <w:r w:rsidR="00FC5AAF">
        <w:t xml:space="preserve"> which is an issue we </w:t>
      </w:r>
      <w:r w:rsidR="00DE472D">
        <w:t>experience</w:t>
      </w:r>
      <w:r w:rsidR="00FC5AAF">
        <w:t xml:space="preserve"> in common with our counterparts in other jurisdictions</w:t>
      </w:r>
      <w:r w:rsidR="00DB58BA">
        <w:t xml:space="preserve">. </w:t>
      </w:r>
      <w:r w:rsidR="00DE472D">
        <w:t xml:space="preserve">That has been a point of discussion with the Secretary of the Department of Justice throughout the period. </w:t>
      </w:r>
    </w:p>
    <w:p w:rsidR="00CD749D" w:rsidRDefault="00A85894" w:rsidP="00473905">
      <w:pPr>
        <w:pStyle w:val="Heading1"/>
      </w:pPr>
      <w:r>
        <w:t xml:space="preserve">1. </w:t>
      </w:r>
      <w:r w:rsidR="00064D66">
        <w:t>ACKNOWLEDGEMENT</w:t>
      </w:r>
    </w:p>
    <w:p w:rsidR="00CA3890" w:rsidRPr="00CA3890" w:rsidRDefault="00DE15A2" w:rsidP="00CA3890">
      <w:pPr>
        <w:pStyle w:val="NoSpacing"/>
        <w:numPr>
          <w:ilvl w:val="0"/>
          <w:numId w:val="0"/>
        </w:numPr>
      </w:pPr>
      <w:r>
        <w:t>I wish to</w:t>
      </w:r>
      <w:r w:rsidR="00CA3890">
        <w:t xml:space="preserve"> </w:t>
      </w:r>
      <w:r w:rsidR="006E01C4">
        <w:t xml:space="preserve">acknowledge the </w:t>
      </w:r>
      <w:r w:rsidR="0051102B">
        <w:t xml:space="preserve">significant contribution to the State’s legal services provided by </w:t>
      </w:r>
      <w:r w:rsidR="006E01C4">
        <w:t>Paul Turner SC</w:t>
      </w:r>
      <w:r w:rsidR="00C8010B">
        <w:t>, Assistant Solicitor-General (Litigation),</w:t>
      </w:r>
      <w:r w:rsidR="006E01C4">
        <w:t xml:space="preserve"> </w:t>
      </w:r>
      <w:r w:rsidR="0051102B">
        <w:t xml:space="preserve">who retired </w:t>
      </w:r>
      <w:r w:rsidR="006E01C4">
        <w:t>in May 2023</w:t>
      </w:r>
      <w:r w:rsidR="0051102B">
        <w:t xml:space="preserve"> after nearly 25 years with Crown Law</w:t>
      </w:r>
      <w:r w:rsidR="00DB58BA">
        <w:t xml:space="preserve">. </w:t>
      </w:r>
      <w:r w:rsidR="0051102B">
        <w:t xml:space="preserve">Paul’s </w:t>
      </w:r>
      <w:r w:rsidR="00FF1CFE">
        <w:t xml:space="preserve">considerable knowledge, </w:t>
      </w:r>
      <w:r w:rsidR="0051102B">
        <w:t xml:space="preserve">skills </w:t>
      </w:r>
      <w:r w:rsidR="005344F8">
        <w:t xml:space="preserve">and experience </w:t>
      </w:r>
      <w:r w:rsidR="00FF1CFE">
        <w:t xml:space="preserve">as both </w:t>
      </w:r>
      <w:r w:rsidR="0051102B">
        <w:t xml:space="preserve">an </w:t>
      </w:r>
      <w:r w:rsidR="006E01C4">
        <w:t xml:space="preserve">advocate and adviser to the State </w:t>
      </w:r>
      <w:r w:rsidR="005344F8">
        <w:t xml:space="preserve">will be </w:t>
      </w:r>
      <w:r w:rsidR="00FF1CFE">
        <w:t xml:space="preserve">greatly </w:t>
      </w:r>
      <w:r w:rsidR="00DB58BA">
        <w:t xml:space="preserve">missed. </w:t>
      </w:r>
      <w:r w:rsidR="00FC5AAF">
        <w:t>I thank the Litigation team for shouldering the burden of the additional file load and Gretel Chen in particular for taking on the responsibilities of that position following Paul’s retirement.</w:t>
      </w:r>
    </w:p>
    <w:p w:rsidR="00473905" w:rsidRPr="00C07D46" w:rsidRDefault="00A85894" w:rsidP="00A85894">
      <w:pPr>
        <w:pStyle w:val="Heading1"/>
      </w:pPr>
      <w:r>
        <w:t xml:space="preserve">2. </w:t>
      </w:r>
      <w:r w:rsidR="00107113">
        <w:t xml:space="preserve">ABOUT </w:t>
      </w:r>
      <w:r w:rsidR="00D37538">
        <w:t>THE OFFICE</w:t>
      </w:r>
      <w:r w:rsidR="00473905" w:rsidRPr="00C07D46">
        <w:t xml:space="preserve"> OF </w:t>
      </w:r>
      <w:r w:rsidR="00AF29C3">
        <w:t xml:space="preserve">THE </w:t>
      </w:r>
      <w:r w:rsidR="00473905" w:rsidRPr="00C07D46">
        <w:t>SOLICITOR-GENERAL</w:t>
      </w:r>
    </w:p>
    <w:p w:rsidR="00AF29C3" w:rsidRDefault="002A6271" w:rsidP="001F5841">
      <w:pPr>
        <w:overflowPunct/>
        <w:autoSpaceDE/>
        <w:autoSpaceDN/>
        <w:adjustRightInd/>
        <w:spacing w:before="240" w:after="240"/>
        <w:jc w:val="both"/>
        <w:textAlignment w:val="auto"/>
        <w:rPr>
          <w:rFonts w:eastAsia="Calibri"/>
          <w:szCs w:val="24"/>
        </w:rPr>
      </w:pPr>
      <w:r>
        <w:rPr>
          <w:rFonts w:eastAsia="Calibri"/>
          <w:szCs w:val="24"/>
        </w:rPr>
        <w:t>In March</w:t>
      </w:r>
      <w:r w:rsidR="00107113">
        <w:rPr>
          <w:rFonts w:eastAsia="Calibri"/>
          <w:szCs w:val="24"/>
        </w:rPr>
        <w:t xml:space="preserve"> 2023</w:t>
      </w:r>
      <w:r>
        <w:rPr>
          <w:rFonts w:eastAsia="Calibri"/>
          <w:szCs w:val="24"/>
        </w:rPr>
        <w:t>, t</w:t>
      </w:r>
      <w:r w:rsidR="00AF29C3">
        <w:rPr>
          <w:rFonts w:eastAsia="Calibri"/>
          <w:szCs w:val="24"/>
        </w:rPr>
        <w:t xml:space="preserve">he Attorney-General announced the </w:t>
      </w:r>
      <w:r>
        <w:rPr>
          <w:rFonts w:eastAsia="Calibri"/>
          <w:szCs w:val="24"/>
        </w:rPr>
        <w:t xml:space="preserve">establishment </w:t>
      </w:r>
      <w:r w:rsidR="005344F8">
        <w:rPr>
          <w:rFonts w:eastAsia="Calibri"/>
          <w:szCs w:val="24"/>
        </w:rPr>
        <w:t xml:space="preserve">of the </w:t>
      </w:r>
      <w:r>
        <w:rPr>
          <w:rFonts w:eastAsia="Calibri"/>
          <w:szCs w:val="24"/>
        </w:rPr>
        <w:t>S</w:t>
      </w:r>
      <w:r w:rsidR="00AF29C3">
        <w:rPr>
          <w:rFonts w:eastAsia="Calibri"/>
          <w:szCs w:val="24"/>
        </w:rPr>
        <w:t>tate Litigat</w:t>
      </w:r>
      <w:r>
        <w:rPr>
          <w:rFonts w:eastAsia="Calibri"/>
          <w:szCs w:val="24"/>
        </w:rPr>
        <w:t xml:space="preserve">ion </w:t>
      </w:r>
      <w:r w:rsidR="00C8010B">
        <w:rPr>
          <w:rFonts w:eastAsia="Calibri"/>
          <w:szCs w:val="24"/>
        </w:rPr>
        <w:t xml:space="preserve">Office </w:t>
      </w:r>
      <w:r>
        <w:rPr>
          <w:rFonts w:eastAsia="Calibri"/>
          <w:szCs w:val="24"/>
        </w:rPr>
        <w:t>to be led by the State Litigator.</w:t>
      </w:r>
    </w:p>
    <w:p w:rsidR="000B3D53" w:rsidRDefault="002A6271" w:rsidP="001F5841">
      <w:pPr>
        <w:overflowPunct/>
        <w:autoSpaceDE/>
        <w:autoSpaceDN/>
        <w:adjustRightInd/>
        <w:spacing w:before="240" w:after="240"/>
        <w:jc w:val="both"/>
        <w:textAlignment w:val="auto"/>
        <w:rPr>
          <w:rFonts w:eastAsia="Calibri"/>
          <w:szCs w:val="24"/>
        </w:rPr>
      </w:pPr>
      <w:r>
        <w:rPr>
          <w:rFonts w:eastAsia="Calibri"/>
          <w:szCs w:val="24"/>
        </w:rPr>
        <w:t xml:space="preserve">The establishment of the new Office within Crown Law </w:t>
      </w:r>
      <w:r w:rsidR="00AF29C3">
        <w:rPr>
          <w:rFonts w:eastAsia="Calibri"/>
          <w:szCs w:val="24"/>
        </w:rPr>
        <w:t xml:space="preserve">is a welcome development which will not only allow for the particular demands of civil litigation to be conducted and </w:t>
      </w:r>
      <w:r w:rsidR="000B3D53">
        <w:rPr>
          <w:rFonts w:eastAsia="Calibri"/>
          <w:szCs w:val="24"/>
        </w:rPr>
        <w:t>managed</w:t>
      </w:r>
      <w:r w:rsidR="00AF29C3">
        <w:rPr>
          <w:rFonts w:eastAsia="Calibri"/>
          <w:szCs w:val="24"/>
        </w:rPr>
        <w:t xml:space="preserve"> by a specialis</w:t>
      </w:r>
      <w:r>
        <w:rPr>
          <w:rFonts w:eastAsia="Calibri"/>
          <w:szCs w:val="24"/>
        </w:rPr>
        <w:t>t</w:t>
      </w:r>
      <w:r w:rsidR="00AF29C3">
        <w:rPr>
          <w:rFonts w:eastAsia="Calibri"/>
          <w:szCs w:val="24"/>
        </w:rPr>
        <w:t xml:space="preserve"> group of lawyers but will enable the Office of the Solicitor-General to resume its focus upon the provision of advice to the Crown and </w:t>
      </w:r>
      <w:r w:rsidR="00452CA3">
        <w:rPr>
          <w:rFonts w:eastAsia="Calibri"/>
          <w:szCs w:val="24"/>
        </w:rPr>
        <w:t xml:space="preserve">representation of </w:t>
      </w:r>
      <w:r w:rsidR="00AF29C3">
        <w:rPr>
          <w:rFonts w:eastAsia="Calibri"/>
          <w:szCs w:val="24"/>
        </w:rPr>
        <w:t>the State in constitutional litigation</w:t>
      </w:r>
      <w:r>
        <w:rPr>
          <w:rFonts w:eastAsia="Calibri"/>
          <w:szCs w:val="24"/>
        </w:rPr>
        <w:t>.</w:t>
      </w:r>
      <w:r w:rsidR="00DB58BA">
        <w:rPr>
          <w:rFonts w:eastAsia="Calibri"/>
          <w:szCs w:val="24"/>
        </w:rPr>
        <w:t xml:space="preserve"> </w:t>
      </w:r>
      <w:r w:rsidR="00BE375F">
        <w:rPr>
          <w:rFonts w:eastAsia="Calibri"/>
          <w:szCs w:val="24"/>
        </w:rPr>
        <w:t>T</w:t>
      </w:r>
      <w:r w:rsidR="000B3D53">
        <w:rPr>
          <w:rFonts w:eastAsia="Calibri"/>
          <w:szCs w:val="24"/>
        </w:rPr>
        <w:t xml:space="preserve">he change is also reflective of an earlier recognition of the </w:t>
      </w:r>
      <w:r w:rsidR="00107113">
        <w:rPr>
          <w:rFonts w:eastAsia="Calibri"/>
          <w:szCs w:val="24"/>
        </w:rPr>
        <w:t>challenge</w:t>
      </w:r>
      <w:r w:rsidR="000B3D53">
        <w:rPr>
          <w:rFonts w:eastAsia="Calibri"/>
          <w:szCs w:val="24"/>
        </w:rPr>
        <w:t xml:space="preserve">s in assuming responsibility for litigation </w:t>
      </w:r>
      <w:r w:rsidR="00452CA3">
        <w:rPr>
          <w:rFonts w:eastAsia="Calibri"/>
          <w:szCs w:val="24"/>
        </w:rPr>
        <w:t>whilst at the same time maintaining</w:t>
      </w:r>
      <w:r w:rsidR="000B3D53">
        <w:rPr>
          <w:rFonts w:eastAsia="Calibri"/>
          <w:szCs w:val="24"/>
        </w:rPr>
        <w:t xml:space="preserve"> the traditional</w:t>
      </w:r>
      <w:r w:rsidR="00DB58BA">
        <w:rPr>
          <w:rFonts w:eastAsia="Calibri"/>
          <w:szCs w:val="24"/>
        </w:rPr>
        <w:t xml:space="preserve"> role of the Solicitor-General. </w:t>
      </w:r>
      <w:r w:rsidR="000B3D53">
        <w:rPr>
          <w:rFonts w:eastAsia="Calibri"/>
          <w:szCs w:val="24"/>
        </w:rPr>
        <w:t>As my predecessor Bill Bale QC wrote in his Annual Report in 2005 in connection with the creation of the office of Solicitor-General:</w:t>
      </w:r>
    </w:p>
    <w:p w:rsidR="00AF29C3" w:rsidRDefault="000B3D53" w:rsidP="00FC5AAF">
      <w:pPr>
        <w:pStyle w:val="Quote"/>
      </w:pPr>
      <w:r>
        <w:t>In its early days, the statutory office saw the Solicitor-General assuming responsibility for much of the Crown’s substantial litigation, as well as fo</w:t>
      </w:r>
      <w:r w:rsidR="00DB58BA">
        <w:t xml:space="preserve">r major advisings of the Crown. </w:t>
      </w:r>
      <w:r>
        <w:t xml:space="preserve">However, concern quickly emerged that, even with the appointment of a Director of Public Prosecutions to take over the role of chief Crown prosecutor, the demands which modern government placed upon the Solicitor-General were so onerous that he could not adequately cope with the workload which </w:t>
      </w:r>
      <w:r>
        <w:lastRenderedPageBreak/>
        <w:t>fell upon him, and there was further concern that timeliness and consistency in the provision of advice to the Crown were being jeopardised by the way in which responsibility for that work was spread.</w:t>
      </w:r>
    </w:p>
    <w:p w:rsidR="000B3D53" w:rsidRDefault="000B3D53" w:rsidP="00FC5AAF">
      <w:pPr>
        <w:pStyle w:val="Quote"/>
      </w:pPr>
      <w:r>
        <w:t xml:space="preserve">Accordingly, with my appointment to the office in 1986, responsibility for the civil litigation of the Crown as well as criminal prosecution was passed to the Director of </w:t>
      </w:r>
      <w:r w:rsidR="00DB58BA">
        <w:t xml:space="preserve">Public Prosecutions. </w:t>
      </w:r>
      <w:r>
        <w:t>A much more focused role for the office of Solicitor-General was developed, in which the Solicitor-General’s responsibilities became the provision of all legal advice required by the Crown and acting as Counsel for the State when it is involved in constitutional litigation and occasionally in important matters on brief from the Director of Public Prosecutions.</w:t>
      </w:r>
    </w:p>
    <w:p w:rsidR="002A6271" w:rsidRDefault="003B4122" w:rsidP="001F5841">
      <w:pPr>
        <w:overflowPunct/>
        <w:autoSpaceDE/>
        <w:autoSpaceDN/>
        <w:adjustRightInd/>
        <w:spacing w:before="240" w:after="240"/>
        <w:jc w:val="both"/>
        <w:textAlignment w:val="auto"/>
        <w:rPr>
          <w:rFonts w:eastAsia="Calibri"/>
          <w:szCs w:val="24"/>
        </w:rPr>
      </w:pPr>
      <w:r>
        <w:rPr>
          <w:rFonts w:eastAsia="Calibri"/>
          <w:szCs w:val="24"/>
        </w:rPr>
        <w:t>Following a period of nearly twenty years in which t</w:t>
      </w:r>
      <w:r w:rsidR="00DC08E2">
        <w:rPr>
          <w:rFonts w:eastAsia="Calibri"/>
          <w:szCs w:val="24"/>
        </w:rPr>
        <w:t>he</w:t>
      </w:r>
      <w:r>
        <w:rPr>
          <w:rFonts w:eastAsia="Calibri"/>
          <w:szCs w:val="24"/>
        </w:rPr>
        <w:t xml:space="preserve"> Director of Public Prosecutions was responsible for the conduct of civil litigation </w:t>
      </w:r>
      <w:r w:rsidR="00DC08E2">
        <w:rPr>
          <w:rFonts w:eastAsia="Calibri"/>
          <w:szCs w:val="24"/>
        </w:rPr>
        <w:t>on behalf of the State</w:t>
      </w:r>
      <w:r>
        <w:rPr>
          <w:rFonts w:eastAsia="Calibri"/>
          <w:szCs w:val="24"/>
        </w:rPr>
        <w:t xml:space="preserve">, that responsibility was handed to </w:t>
      </w:r>
      <w:r w:rsidR="00DC08E2">
        <w:rPr>
          <w:rFonts w:eastAsia="Calibri"/>
          <w:szCs w:val="24"/>
        </w:rPr>
        <w:t>the Solicitor-General in 2015</w:t>
      </w:r>
      <w:r w:rsidR="0049598A">
        <w:rPr>
          <w:rFonts w:eastAsia="Calibri"/>
          <w:szCs w:val="24"/>
        </w:rPr>
        <w:t xml:space="preserve"> through the merger of the Civil Division of the Office of Director of Public Prosecutions with the Office of the Solicitor-General and </w:t>
      </w:r>
      <w:r w:rsidR="00A80711">
        <w:rPr>
          <w:rFonts w:eastAsia="Calibri"/>
          <w:szCs w:val="24"/>
        </w:rPr>
        <w:t xml:space="preserve">a </w:t>
      </w:r>
      <w:r w:rsidR="0049598A">
        <w:rPr>
          <w:rFonts w:eastAsia="Calibri"/>
          <w:szCs w:val="24"/>
        </w:rPr>
        <w:t xml:space="preserve">direction </w:t>
      </w:r>
      <w:r w:rsidR="00A80711">
        <w:rPr>
          <w:rFonts w:eastAsia="Calibri"/>
          <w:szCs w:val="24"/>
        </w:rPr>
        <w:t xml:space="preserve">from </w:t>
      </w:r>
      <w:r w:rsidR="00A656C7">
        <w:rPr>
          <w:rFonts w:eastAsia="Calibri"/>
          <w:szCs w:val="24"/>
        </w:rPr>
        <w:t xml:space="preserve">the </w:t>
      </w:r>
      <w:r w:rsidR="00BA4869">
        <w:rPr>
          <w:rFonts w:eastAsia="Calibri"/>
          <w:szCs w:val="24"/>
        </w:rPr>
        <w:t>former</w:t>
      </w:r>
      <w:r w:rsidR="0049598A">
        <w:rPr>
          <w:rFonts w:eastAsia="Calibri"/>
          <w:szCs w:val="24"/>
        </w:rPr>
        <w:t xml:space="preserve"> Attorney-General to </w:t>
      </w:r>
      <w:r w:rsidR="00E03FBC">
        <w:rPr>
          <w:rFonts w:eastAsia="Calibri"/>
          <w:szCs w:val="24"/>
        </w:rPr>
        <w:t xml:space="preserve">the Solicitor-General to </w:t>
      </w:r>
      <w:r w:rsidR="0049598A">
        <w:rPr>
          <w:rFonts w:eastAsia="Calibri"/>
          <w:szCs w:val="24"/>
        </w:rPr>
        <w:t>conduct the State’s civil litigation.</w:t>
      </w:r>
    </w:p>
    <w:p w:rsidR="00B42414" w:rsidRDefault="00B42414" w:rsidP="001F5841">
      <w:pPr>
        <w:overflowPunct/>
        <w:autoSpaceDE/>
        <w:autoSpaceDN/>
        <w:adjustRightInd/>
        <w:spacing w:before="240" w:after="240"/>
        <w:jc w:val="both"/>
        <w:textAlignment w:val="auto"/>
        <w:rPr>
          <w:rFonts w:eastAsia="Calibri"/>
          <w:szCs w:val="24"/>
        </w:rPr>
      </w:pPr>
      <w:r>
        <w:rPr>
          <w:rFonts w:eastAsia="Calibri"/>
          <w:szCs w:val="24"/>
        </w:rPr>
        <w:t xml:space="preserve">It is my hope and expectation that the State Litigation </w:t>
      </w:r>
      <w:r w:rsidR="00D435DE">
        <w:rPr>
          <w:rFonts w:eastAsia="Calibri"/>
          <w:szCs w:val="24"/>
        </w:rPr>
        <w:t xml:space="preserve">Office, </w:t>
      </w:r>
      <w:r>
        <w:rPr>
          <w:rFonts w:eastAsia="Calibri"/>
          <w:szCs w:val="24"/>
        </w:rPr>
        <w:t>and those working within it</w:t>
      </w:r>
      <w:r w:rsidR="00D435DE">
        <w:rPr>
          <w:rFonts w:eastAsia="Calibri"/>
          <w:szCs w:val="24"/>
        </w:rPr>
        <w:t>,</w:t>
      </w:r>
      <w:r>
        <w:rPr>
          <w:rFonts w:eastAsia="Calibri"/>
          <w:szCs w:val="24"/>
        </w:rPr>
        <w:t xml:space="preserve"> </w:t>
      </w:r>
      <w:r w:rsidR="003B4122">
        <w:rPr>
          <w:rFonts w:eastAsia="Calibri"/>
          <w:szCs w:val="24"/>
        </w:rPr>
        <w:t xml:space="preserve">will </w:t>
      </w:r>
      <w:r>
        <w:rPr>
          <w:rFonts w:eastAsia="Calibri"/>
          <w:szCs w:val="24"/>
        </w:rPr>
        <w:t>continue to have a close and collegial working relationship with the Office of Solicitor-General.</w:t>
      </w:r>
      <w:r w:rsidR="00276609">
        <w:rPr>
          <w:rFonts w:eastAsia="Calibri"/>
          <w:szCs w:val="24"/>
        </w:rPr>
        <w:t xml:space="preserve"> Whilst falling outside the reporting period, I acknowledge the appointment of Mark Rapley</w:t>
      </w:r>
      <w:r w:rsidR="00FC5AAF">
        <w:rPr>
          <w:rFonts w:eastAsia="Calibri"/>
          <w:szCs w:val="24"/>
        </w:rPr>
        <w:t xml:space="preserve"> to the role of</w:t>
      </w:r>
      <w:r w:rsidR="00276609">
        <w:rPr>
          <w:rFonts w:eastAsia="Calibri"/>
          <w:szCs w:val="24"/>
        </w:rPr>
        <w:t xml:space="preserve"> State Litigator and look forward to his </w:t>
      </w:r>
      <w:r w:rsidR="00781392">
        <w:rPr>
          <w:rFonts w:eastAsia="Calibri"/>
          <w:szCs w:val="24"/>
        </w:rPr>
        <w:t>commencement in October</w:t>
      </w:r>
      <w:r w:rsidR="00CA4EE5">
        <w:rPr>
          <w:rFonts w:eastAsia="Calibri"/>
          <w:szCs w:val="24"/>
        </w:rPr>
        <w:t>.</w:t>
      </w:r>
    </w:p>
    <w:p w:rsidR="00473905" w:rsidRPr="00C07D46" w:rsidRDefault="008F0ACC" w:rsidP="00473905">
      <w:pPr>
        <w:pStyle w:val="ParaPlain"/>
        <w:rPr>
          <w:lang w:val="en-AU"/>
        </w:rPr>
      </w:pPr>
      <w:r>
        <w:rPr>
          <w:lang w:val="en-AU"/>
        </w:rPr>
        <w:t xml:space="preserve">Although the office of Solicitor-General dates back to colonial times, </w:t>
      </w:r>
      <w:r w:rsidR="00233C08">
        <w:rPr>
          <w:lang w:val="en-AU"/>
        </w:rPr>
        <w:t xml:space="preserve">it now owes its existence as a statutory office to the provisions of the </w:t>
      </w:r>
      <w:r w:rsidR="00EB614A">
        <w:rPr>
          <w:i/>
          <w:lang w:val="en-AU"/>
        </w:rPr>
        <w:t>Solicitor-General Act</w:t>
      </w:r>
      <w:r w:rsidR="00EB614A">
        <w:rPr>
          <w:lang w:val="en-AU"/>
        </w:rPr>
        <w:t>.</w:t>
      </w:r>
      <w:r w:rsidR="00233C08">
        <w:rPr>
          <w:lang w:val="en-AU"/>
        </w:rPr>
        <w:t xml:space="preserve"> </w:t>
      </w:r>
      <w:r w:rsidR="00473905" w:rsidRPr="00C07D46">
        <w:rPr>
          <w:lang w:val="en-AU"/>
        </w:rPr>
        <w:t>The functions of the Solicitor-General are set out in s 7 of the Act in the following terms:</w:t>
      </w:r>
    </w:p>
    <w:p w:rsidR="00473905" w:rsidRPr="00C07D46" w:rsidRDefault="00473905" w:rsidP="00473905">
      <w:pPr>
        <w:pStyle w:val="Legislation"/>
        <w:rPr>
          <w:b/>
        </w:rPr>
      </w:pPr>
      <w:r w:rsidRPr="00C07D46">
        <w:rPr>
          <w:b/>
        </w:rPr>
        <w:t xml:space="preserve">7. Functions of Solicitor-General </w:t>
      </w:r>
    </w:p>
    <w:p w:rsidR="00473905" w:rsidRPr="00C07D46" w:rsidRDefault="00473905" w:rsidP="00473905">
      <w:pPr>
        <w:pStyle w:val="Legislation"/>
      </w:pPr>
      <w:r w:rsidRPr="00C07D46">
        <w:t xml:space="preserve">A person holding </w:t>
      </w:r>
      <w:r w:rsidR="00D37538">
        <w:t>the Office</w:t>
      </w:r>
      <w:r w:rsidRPr="00C07D46">
        <w:t xml:space="preserve"> of Solicitor-General has and shall exercise the following functions: </w:t>
      </w:r>
    </w:p>
    <w:p w:rsidR="00473905" w:rsidRPr="00C07D46" w:rsidRDefault="00473905" w:rsidP="00473905">
      <w:pPr>
        <w:pStyle w:val="Legislation"/>
        <w:ind w:left="1701" w:hanging="567"/>
      </w:pPr>
      <w:r w:rsidRPr="00C07D46">
        <w:t xml:space="preserve">(a) </w:t>
      </w:r>
      <w:r w:rsidRPr="00C07D46">
        <w:tab/>
        <w:t>to act as counsel for the Crown in right of Tasmania or for any other person for whom the Attorney-General directs or requests him to act;</w:t>
      </w:r>
    </w:p>
    <w:p w:rsidR="00473905" w:rsidRPr="00C07D46" w:rsidRDefault="00473905" w:rsidP="00473905">
      <w:pPr>
        <w:pStyle w:val="Legislation"/>
        <w:ind w:left="1701" w:hanging="567"/>
      </w:pPr>
      <w:r w:rsidRPr="00C07D46">
        <w:t xml:space="preserve">(b) </w:t>
      </w:r>
      <w:r w:rsidRPr="00C07D46">
        <w:tab/>
        <w:t>to perform such other duties ordinarily performed by a legal practitioner as the Attorney-General directs or requests him to perform; and</w:t>
      </w:r>
    </w:p>
    <w:p w:rsidR="00473905" w:rsidRPr="00C07D46" w:rsidRDefault="00473905" w:rsidP="00473905">
      <w:pPr>
        <w:pStyle w:val="Legislation"/>
        <w:ind w:left="1701" w:hanging="567"/>
      </w:pPr>
      <w:r w:rsidRPr="00C07D46">
        <w:t xml:space="preserve">(c) </w:t>
      </w:r>
      <w:r w:rsidRPr="00C07D46">
        <w:tab/>
        <w:t>to perform such duties (if any) as are imposed on him by or under any other Act.</w:t>
      </w:r>
    </w:p>
    <w:p w:rsidR="00BE1B45" w:rsidRDefault="00CA4EE5" w:rsidP="00473905">
      <w:pPr>
        <w:pStyle w:val="ParaPlain"/>
        <w:rPr>
          <w:lang w:val="en-AU"/>
        </w:rPr>
      </w:pPr>
      <w:r>
        <w:rPr>
          <w:lang w:val="en-AU"/>
        </w:rPr>
        <w:t xml:space="preserve">The functions of the </w:t>
      </w:r>
      <w:r w:rsidR="00650B63">
        <w:rPr>
          <w:lang w:val="en-AU"/>
        </w:rPr>
        <w:t>o</w:t>
      </w:r>
      <w:r>
        <w:rPr>
          <w:lang w:val="en-AU"/>
        </w:rPr>
        <w:t xml:space="preserve">ffice reflect </w:t>
      </w:r>
      <w:r w:rsidR="00BE1B45" w:rsidRPr="00BE1B45">
        <w:rPr>
          <w:lang w:val="en-AU"/>
        </w:rPr>
        <w:t xml:space="preserve">the importance of ensuring that government operates in accordance with the rule of law and </w:t>
      </w:r>
      <w:r>
        <w:rPr>
          <w:lang w:val="en-AU"/>
        </w:rPr>
        <w:t>that t</w:t>
      </w:r>
      <w:r w:rsidR="00BE1B45" w:rsidRPr="00BE1B45">
        <w:rPr>
          <w:lang w:val="en-AU"/>
        </w:rPr>
        <w:t xml:space="preserve">he integrity of the Executive </w:t>
      </w:r>
      <w:r>
        <w:rPr>
          <w:lang w:val="en-AU"/>
        </w:rPr>
        <w:t xml:space="preserve">is upheld </w:t>
      </w:r>
      <w:r w:rsidR="00BE1B45" w:rsidRPr="00BE1B45">
        <w:rPr>
          <w:lang w:val="en-AU"/>
        </w:rPr>
        <w:t>through the provision of frank and fearless advice.</w:t>
      </w:r>
    </w:p>
    <w:p w:rsidR="00473905" w:rsidRPr="00C07D46" w:rsidRDefault="0069094F" w:rsidP="00473905">
      <w:pPr>
        <w:pStyle w:val="ParaPlain"/>
        <w:rPr>
          <w:lang w:val="en-AU"/>
        </w:rPr>
      </w:pPr>
      <w:r w:rsidRPr="00C07D46">
        <w:rPr>
          <w:lang w:val="en-AU"/>
        </w:rPr>
        <w:t xml:space="preserve">By a direction </w:t>
      </w:r>
      <w:r w:rsidR="006B5C57">
        <w:rPr>
          <w:lang w:val="en-AU"/>
        </w:rPr>
        <w:t xml:space="preserve">under s 7(b) </w:t>
      </w:r>
      <w:r w:rsidR="001C5CCD">
        <w:rPr>
          <w:lang w:val="en-AU"/>
        </w:rPr>
        <w:t>from</w:t>
      </w:r>
      <w:r w:rsidR="00CA3CEF">
        <w:rPr>
          <w:lang w:val="en-AU"/>
        </w:rPr>
        <w:t xml:space="preserve"> </w:t>
      </w:r>
      <w:r w:rsidRPr="00C07D46">
        <w:rPr>
          <w:lang w:val="en-AU"/>
        </w:rPr>
        <w:t xml:space="preserve">the Attorney-General </w:t>
      </w:r>
      <w:r w:rsidR="006B5C57">
        <w:rPr>
          <w:lang w:val="en-AU"/>
        </w:rPr>
        <w:t>dated</w:t>
      </w:r>
      <w:r w:rsidRPr="00C07D46">
        <w:rPr>
          <w:lang w:val="en-AU"/>
        </w:rPr>
        <w:t xml:space="preserve"> </w:t>
      </w:r>
      <w:r w:rsidR="00A85894">
        <w:rPr>
          <w:lang w:val="en-AU"/>
        </w:rPr>
        <w:t>13 January 2022</w:t>
      </w:r>
      <w:r w:rsidR="00071DCA">
        <w:rPr>
          <w:lang w:val="en-AU"/>
        </w:rPr>
        <w:t>,</w:t>
      </w:r>
      <w:r w:rsidRPr="00C07D46">
        <w:rPr>
          <w:lang w:val="en-AU"/>
        </w:rPr>
        <w:t xml:space="preserve"> </w:t>
      </w:r>
      <w:r w:rsidR="00473905" w:rsidRPr="00C07D46">
        <w:rPr>
          <w:lang w:val="en-AU"/>
        </w:rPr>
        <w:t xml:space="preserve">I </w:t>
      </w:r>
      <w:r w:rsidR="00233C08">
        <w:rPr>
          <w:lang w:val="en-AU"/>
        </w:rPr>
        <w:t>was</w:t>
      </w:r>
      <w:r w:rsidR="00473905" w:rsidRPr="00C07D46">
        <w:rPr>
          <w:lang w:val="en-AU"/>
        </w:rPr>
        <w:t xml:space="preserve"> </w:t>
      </w:r>
      <w:r w:rsidR="00263A42">
        <w:rPr>
          <w:lang w:val="en-AU"/>
        </w:rPr>
        <w:t xml:space="preserve">given the responsibility </w:t>
      </w:r>
      <w:r w:rsidR="00473905" w:rsidRPr="00C07D46">
        <w:rPr>
          <w:lang w:val="en-AU"/>
        </w:rPr>
        <w:t xml:space="preserve">for </w:t>
      </w:r>
      <w:r w:rsidR="00263A42">
        <w:rPr>
          <w:lang w:val="en-AU"/>
        </w:rPr>
        <w:t xml:space="preserve">the conduct of the </w:t>
      </w:r>
      <w:r w:rsidR="00473905" w:rsidRPr="00C07D46">
        <w:rPr>
          <w:lang w:val="en-AU"/>
        </w:rPr>
        <w:t>State’s functions in respect of civil proceedings</w:t>
      </w:r>
      <w:r w:rsidR="00473905" w:rsidRPr="00C07D46">
        <w:rPr>
          <w:rStyle w:val="FootnoteReference"/>
          <w:rFonts w:ascii="Arial Narrow" w:hAnsi="Arial Narrow"/>
          <w:szCs w:val="24"/>
          <w:lang w:val="en-AU"/>
        </w:rPr>
        <w:footnoteReference w:id="1"/>
      </w:r>
      <w:r w:rsidR="00473905" w:rsidRPr="00C07D46">
        <w:rPr>
          <w:lang w:val="en-AU"/>
        </w:rPr>
        <w:t xml:space="preserve"> </w:t>
      </w:r>
      <w:r w:rsidR="00CE08A0" w:rsidRPr="00C07D46">
        <w:rPr>
          <w:lang w:val="en-AU"/>
        </w:rPr>
        <w:t>a</w:t>
      </w:r>
      <w:r w:rsidR="006B5C57">
        <w:rPr>
          <w:lang w:val="en-AU"/>
        </w:rPr>
        <w:t xml:space="preserve">s well as a </w:t>
      </w:r>
      <w:r w:rsidR="00CE08A0" w:rsidRPr="00C07D46">
        <w:rPr>
          <w:lang w:val="en-AU"/>
        </w:rPr>
        <w:t xml:space="preserve">limited authority to provide advice to the Clerks of the Houses of </w:t>
      </w:r>
      <w:r w:rsidR="008166AC">
        <w:rPr>
          <w:lang w:val="en-AU"/>
        </w:rPr>
        <w:t>Parliament</w:t>
      </w:r>
      <w:r w:rsidR="00CE08A0" w:rsidRPr="00C07D46">
        <w:rPr>
          <w:lang w:val="en-AU"/>
        </w:rPr>
        <w:t xml:space="preserve"> in matters concerning the</w:t>
      </w:r>
      <w:r w:rsidR="00AC25A4" w:rsidRPr="00C07D46">
        <w:rPr>
          <w:lang w:val="en-AU"/>
        </w:rPr>
        <w:t xml:space="preserve"> emplo</w:t>
      </w:r>
      <w:r w:rsidR="00C07D46" w:rsidRPr="00C07D46">
        <w:rPr>
          <w:lang w:val="en-AU"/>
        </w:rPr>
        <w:t>yment of employees in the Tasma</w:t>
      </w:r>
      <w:r w:rsidR="00AC25A4" w:rsidRPr="00C07D46">
        <w:rPr>
          <w:lang w:val="en-AU"/>
        </w:rPr>
        <w:t xml:space="preserve">nian </w:t>
      </w:r>
      <w:r w:rsidR="008166AC">
        <w:rPr>
          <w:lang w:val="en-AU"/>
        </w:rPr>
        <w:t>Parliament</w:t>
      </w:r>
      <w:r w:rsidR="00AC25A4" w:rsidRPr="00C07D46">
        <w:rPr>
          <w:lang w:val="en-AU"/>
        </w:rPr>
        <w:t xml:space="preserve"> and to act for them in civil proceedings arising under the</w:t>
      </w:r>
      <w:r w:rsidR="00CE08A0" w:rsidRPr="00C07D46">
        <w:rPr>
          <w:lang w:val="en-AU"/>
        </w:rPr>
        <w:t xml:space="preserve"> </w:t>
      </w:r>
      <w:r w:rsidR="00CE08A0" w:rsidRPr="00C07D46">
        <w:rPr>
          <w:i/>
          <w:lang w:val="en-AU"/>
        </w:rPr>
        <w:t>Industrial Relations Act 1984</w:t>
      </w:r>
      <w:r w:rsidR="00CE08A0" w:rsidRPr="00C07D46">
        <w:rPr>
          <w:lang w:val="en-AU"/>
        </w:rPr>
        <w:t xml:space="preserve"> and the </w:t>
      </w:r>
      <w:r w:rsidR="00CE08A0" w:rsidRPr="00C07D46">
        <w:rPr>
          <w:i/>
          <w:lang w:val="en-AU"/>
        </w:rPr>
        <w:t>Workers Rehabilitation and Compensation Act 1985</w:t>
      </w:r>
      <w:r w:rsidR="00CE08A0" w:rsidRPr="00C07D46">
        <w:rPr>
          <w:lang w:val="en-AU"/>
        </w:rPr>
        <w:t xml:space="preserve"> (Tas).</w:t>
      </w:r>
      <w:r w:rsidR="00DB58BA">
        <w:rPr>
          <w:lang w:val="en-AU"/>
        </w:rPr>
        <w:t xml:space="preserve"> </w:t>
      </w:r>
      <w:r w:rsidR="00233C08">
        <w:rPr>
          <w:lang w:val="en-AU"/>
        </w:rPr>
        <w:t>That direction</w:t>
      </w:r>
      <w:r w:rsidR="00CA4EE5">
        <w:rPr>
          <w:lang w:val="en-AU"/>
        </w:rPr>
        <w:t xml:space="preserve">, which mirrored the direction given to my predecessor, </w:t>
      </w:r>
      <w:r w:rsidR="00233C08">
        <w:rPr>
          <w:lang w:val="en-AU"/>
        </w:rPr>
        <w:t xml:space="preserve">remained in force during the relevant reporting period. </w:t>
      </w:r>
    </w:p>
    <w:p w:rsidR="00473905" w:rsidRDefault="006B5C57" w:rsidP="00473905">
      <w:pPr>
        <w:pStyle w:val="ParaPlain"/>
        <w:rPr>
          <w:lang w:val="en-AU"/>
        </w:rPr>
      </w:pPr>
      <w:r>
        <w:rPr>
          <w:lang w:val="en-AU"/>
        </w:rPr>
        <w:lastRenderedPageBreak/>
        <w:t xml:space="preserve">Section </w:t>
      </w:r>
      <w:r w:rsidR="00473905" w:rsidRPr="00C07D46">
        <w:rPr>
          <w:lang w:val="en-AU"/>
        </w:rPr>
        <w:t xml:space="preserve">8 of the Act provides for the delegation to the Solicitor-General by instrument in writing </w:t>
      </w:r>
      <w:r w:rsidR="00D435DE">
        <w:rPr>
          <w:lang w:val="en-AU"/>
        </w:rPr>
        <w:t>from</w:t>
      </w:r>
      <w:r w:rsidR="00D435DE" w:rsidRPr="00C07D46">
        <w:rPr>
          <w:lang w:val="en-AU"/>
        </w:rPr>
        <w:t xml:space="preserve"> </w:t>
      </w:r>
      <w:r w:rsidR="00473905" w:rsidRPr="00C07D46">
        <w:rPr>
          <w:lang w:val="en-AU"/>
        </w:rPr>
        <w:t>the Attorney-General of</w:t>
      </w:r>
      <w:r>
        <w:t xml:space="preserve"> </w:t>
      </w:r>
      <w:r w:rsidR="00473905" w:rsidRPr="00C07D46">
        <w:t>responsibility for the performance or exercise of such of the functions and powers which may be performed or exercised by the Attorney-General under the laws of Tasmania as may be specified in the instrument of delegation</w:t>
      </w:r>
      <w:r w:rsidR="00DB58BA">
        <w:t xml:space="preserve">. </w:t>
      </w:r>
      <w:r w:rsidR="00473905" w:rsidRPr="00C07D46">
        <w:rPr>
          <w:lang w:val="en-AU"/>
        </w:rPr>
        <w:t xml:space="preserve">No delegation pursuant to s 8 of the Act was in force at any time during the relevant period. </w:t>
      </w:r>
    </w:p>
    <w:p w:rsidR="00071DCA" w:rsidRPr="00C07D46" w:rsidRDefault="00071DCA" w:rsidP="00473905">
      <w:pPr>
        <w:pStyle w:val="ParaPlain"/>
        <w:rPr>
          <w:lang w:val="en-AU"/>
        </w:rPr>
      </w:pPr>
      <w:r>
        <w:rPr>
          <w:lang w:val="en-AU"/>
        </w:rPr>
        <w:t xml:space="preserve">A list of the former Solicitors-General of Van Diemen’s Land and Tasmania is annexed at Schedule </w:t>
      </w:r>
      <w:r w:rsidR="00EB614A">
        <w:rPr>
          <w:lang w:val="en-AU"/>
        </w:rPr>
        <w:t>3</w:t>
      </w:r>
      <w:r>
        <w:rPr>
          <w:lang w:val="en-AU"/>
        </w:rPr>
        <w:t xml:space="preserve">. </w:t>
      </w:r>
    </w:p>
    <w:p w:rsidR="00473905" w:rsidRDefault="00615096" w:rsidP="00473905">
      <w:pPr>
        <w:pStyle w:val="Heading1"/>
      </w:pPr>
      <w:r>
        <w:t>3</w:t>
      </w:r>
      <w:r w:rsidR="00473905" w:rsidRPr="00C07D46">
        <w:t>.</w:t>
      </w:r>
      <w:r w:rsidR="00473905" w:rsidRPr="00C07D46">
        <w:tab/>
        <w:t>ADMINISTRATION</w:t>
      </w:r>
    </w:p>
    <w:p w:rsidR="00DC05BF" w:rsidRPr="00DC05BF" w:rsidRDefault="00DC05BF" w:rsidP="00DC05BF">
      <w:pPr>
        <w:pStyle w:val="Heading1"/>
      </w:pPr>
      <w:r>
        <w:t>Structure and accommodation</w:t>
      </w:r>
    </w:p>
    <w:p w:rsidR="00473905" w:rsidRPr="00272849" w:rsidRDefault="00614268" w:rsidP="000309EA">
      <w:pPr>
        <w:pStyle w:val="ParaPlain"/>
        <w:rPr>
          <w:lang w:val="en-AU"/>
        </w:rPr>
      </w:pPr>
      <w:r>
        <w:rPr>
          <w:lang w:val="en-AU"/>
        </w:rPr>
        <w:t>During the reporting period, t</w:t>
      </w:r>
      <w:r w:rsidR="00473905" w:rsidRPr="00C07D46">
        <w:rPr>
          <w:lang w:val="en-AU"/>
        </w:rPr>
        <w:t xml:space="preserve">he </w:t>
      </w:r>
      <w:r>
        <w:rPr>
          <w:lang w:val="en-AU"/>
        </w:rPr>
        <w:t xml:space="preserve">Office of </w:t>
      </w:r>
      <w:r w:rsidR="00473905" w:rsidRPr="00C07D46">
        <w:rPr>
          <w:lang w:val="en-AU"/>
        </w:rPr>
        <w:t>Solic</w:t>
      </w:r>
      <w:r w:rsidR="00AF1727">
        <w:rPr>
          <w:lang w:val="en-AU"/>
        </w:rPr>
        <w:t>i</w:t>
      </w:r>
      <w:r w:rsidR="00473905" w:rsidRPr="00C07D46">
        <w:rPr>
          <w:lang w:val="en-AU"/>
        </w:rPr>
        <w:t>tor-Genera</w:t>
      </w:r>
      <w:r>
        <w:rPr>
          <w:lang w:val="en-AU"/>
        </w:rPr>
        <w:t>l</w:t>
      </w:r>
      <w:r w:rsidR="00473905" w:rsidRPr="00C07D46">
        <w:rPr>
          <w:lang w:val="en-AU"/>
        </w:rPr>
        <w:t xml:space="preserve"> </w:t>
      </w:r>
      <w:r>
        <w:rPr>
          <w:lang w:val="en-AU"/>
        </w:rPr>
        <w:t xml:space="preserve">comprised </w:t>
      </w:r>
      <w:r w:rsidR="00D37538">
        <w:rPr>
          <w:lang w:val="en-AU"/>
        </w:rPr>
        <w:t>the Office</w:t>
      </w:r>
      <w:r w:rsidR="00473905" w:rsidRPr="00C07D46">
        <w:rPr>
          <w:lang w:val="en-AU"/>
        </w:rPr>
        <w:t xml:space="preserve"> of the Solicitor-General (Advisings) and </w:t>
      </w:r>
      <w:r w:rsidR="00D37538">
        <w:rPr>
          <w:lang w:val="en-AU"/>
        </w:rPr>
        <w:t>the Office</w:t>
      </w:r>
      <w:r w:rsidR="00473905" w:rsidRPr="00C07D46">
        <w:rPr>
          <w:lang w:val="en-AU"/>
        </w:rPr>
        <w:t xml:space="preserve"> of the Solicitor-General (Litigation).</w:t>
      </w:r>
      <w:r w:rsidR="00BE375F">
        <w:rPr>
          <w:lang w:val="en-AU"/>
        </w:rPr>
        <w:t xml:space="preserve"> </w:t>
      </w:r>
      <w:r w:rsidR="00257EA1">
        <w:rPr>
          <w:lang w:val="en-AU"/>
        </w:rPr>
        <w:t>Despite efforts to secure suitable accommodation to physically draw together the divisions of the Office,</w:t>
      </w:r>
      <w:r w:rsidR="00257EA1" w:rsidRPr="00257EA1">
        <w:t xml:space="preserve"> </w:t>
      </w:r>
      <w:r w:rsidR="00257EA1" w:rsidRPr="00257EA1">
        <w:rPr>
          <w:lang w:val="en-AU"/>
        </w:rPr>
        <w:t xml:space="preserve">members of staff undertaking duties associated with </w:t>
      </w:r>
      <w:r w:rsidR="00257EA1">
        <w:rPr>
          <w:lang w:val="en-AU"/>
        </w:rPr>
        <w:t xml:space="preserve">historic child abuse claims </w:t>
      </w:r>
      <w:r w:rsidR="00257EA1" w:rsidRPr="00257EA1">
        <w:rPr>
          <w:lang w:val="en-AU"/>
        </w:rPr>
        <w:t xml:space="preserve">are </w:t>
      </w:r>
      <w:r w:rsidR="00257EA1">
        <w:rPr>
          <w:lang w:val="en-AU"/>
        </w:rPr>
        <w:t xml:space="preserve">still </w:t>
      </w:r>
      <w:r w:rsidR="00257EA1" w:rsidRPr="00257EA1">
        <w:rPr>
          <w:lang w:val="en-AU"/>
        </w:rPr>
        <w:t>separately housed at 144 Macquarie Street, Hobart</w:t>
      </w:r>
      <w:r w:rsidR="00257EA1">
        <w:rPr>
          <w:lang w:val="en-AU"/>
        </w:rPr>
        <w:t xml:space="preserve"> whilst the balance of the Office are </w:t>
      </w:r>
      <w:r w:rsidR="00AF1727" w:rsidRPr="00272849">
        <w:rPr>
          <w:lang w:val="en-AU"/>
        </w:rPr>
        <w:t xml:space="preserve">accommodated within the Executive Building </w:t>
      </w:r>
      <w:r w:rsidR="00DB58BA">
        <w:rPr>
          <w:lang w:val="en-AU"/>
        </w:rPr>
        <w:t xml:space="preserve">in Hobart. </w:t>
      </w:r>
      <w:r w:rsidR="00257EA1">
        <w:rPr>
          <w:lang w:val="en-AU"/>
        </w:rPr>
        <w:t>As previously reported, the</w:t>
      </w:r>
      <w:r w:rsidR="00AF1727" w:rsidRPr="00272849">
        <w:rPr>
          <w:lang w:val="en-AU"/>
        </w:rPr>
        <w:t xml:space="preserve"> separation of </w:t>
      </w:r>
      <w:r w:rsidR="00D37538">
        <w:rPr>
          <w:lang w:val="en-AU"/>
        </w:rPr>
        <w:t>the</w:t>
      </w:r>
      <w:r w:rsidR="00257EA1">
        <w:rPr>
          <w:lang w:val="en-AU"/>
        </w:rPr>
        <w:t xml:space="preserve"> two parts of the Litigation team </w:t>
      </w:r>
      <w:r w:rsidR="00AF1727" w:rsidRPr="00272849">
        <w:rPr>
          <w:lang w:val="en-AU"/>
        </w:rPr>
        <w:t>in this manner is</w:t>
      </w:r>
      <w:r w:rsidR="00257EA1">
        <w:rPr>
          <w:lang w:val="en-AU"/>
        </w:rPr>
        <w:t xml:space="preserve"> not a good organisational </w:t>
      </w:r>
      <w:r w:rsidR="00DB58BA">
        <w:rPr>
          <w:lang w:val="en-AU"/>
        </w:rPr>
        <w:t xml:space="preserve">model. </w:t>
      </w:r>
      <w:r w:rsidR="00257EA1">
        <w:rPr>
          <w:lang w:val="en-AU"/>
        </w:rPr>
        <w:t>Efforts are ongoing to locate appropriate office space to accommodate the team</w:t>
      </w:r>
      <w:r w:rsidR="00064D66" w:rsidRPr="00272849">
        <w:rPr>
          <w:lang w:val="en-AU"/>
        </w:rPr>
        <w:t>.</w:t>
      </w:r>
    </w:p>
    <w:p w:rsidR="00FA7F15" w:rsidRDefault="00FA7F15" w:rsidP="000309EA">
      <w:pPr>
        <w:pStyle w:val="Heading1"/>
      </w:pPr>
      <w:r>
        <w:t xml:space="preserve">Staffing </w:t>
      </w:r>
    </w:p>
    <w:p w:rsidR="00DE472D" w:rsidRDefault="00DE472D" w:rsidP="00FA7F15">
      <w:pPr>
        <w:pStyle w:val="ParaPlain"/>
        <w:rPr>
          <w:lang w:val="en-AU"/>
        </w:rPr>
      </w:pPr>
      <w:r>
        <w:rPr>
          <w:lang w:val="en-AU"/>
        </w:rPr>
        <w:t xml:space="preserve">Employees are provided to assist in the performance of the functions of the Office in accordance with s 12A of the </w:t>
      </w:r>
      <w:r w:rsidRPr="00DE472D">
        <w:rPr>
          <w:i/>
          <w:lang w:val="en-AU"/>
        </w:rPr>
        <w:t>Solicitor-General Act</w:t>
      </w:r>
      <w:r>
        <w:rPr>
          <w:lang w:val="en-AU"/>
        </w:rPr>
        <w:t xml:space="preserve"> and the provisions of the </w:t>
      </w:r>
      <w:r w:rsidRPr="00DE472D">
        <w:rPr>
          <w:i/>
          <w:lang w:val="en-AU"/>
        </w:rPr>
        <w:t>State Service Act 2000</w:t>
      </w:r>
      <w:r>
        <w:rPr>
          <w:lang w:val="en-AU"/>
        </w:rPr>
        <w:t>.</w:t>
      </w:r>
    </w:p>
    <w:p w:rsidR="00C30987" w:rsidRDefault="00650B63" w:rsidP="00FA7F15">
      <w:pPr>
        <w:pStyle w:val="ParaPlain"/>
        <w:rPr>
          <w:lang w:val="en-AU"/>
        </w:rPr>
      </w:pPr>
      <w:r>
        <w:rPr>
          <w:lang w:val="en-AU"/>
        </w:rPr>
        <w:t>T</w:t>
      </w:r>
      <w:r w:rsidR="00C30987">
        <w:rPr>
          <w:lang w:val="en-AU"/>
        </w:rPr>
        <w:t xml:space="preserve">he structure of the Advisings section comprised the Assistant Solicitor-General (Advisings), </w:t>
      </w:r>
      <w:r w:rsidR="00F24FD0">
        <w:rPr>
          <w:lang w:val="en-AU"/>
        </w:rPr>
        <w:t>one</w:t>
      </w:r>
      <w:r w:rsidR="00C30987">
        <w:rPr>
          <w:lang w:val="en-AU"/>
        </w:rPr>
        <w:t xml:space="preserve"> Level 3 legal practitioner, </w:t>
      </w:r>
      <w:r w:rsidR="00F24FD0">
        <w:rPr>
          <w:lang w:val="en-AU"/>
        </w:rPr>
        <w:t xml:space="preserve">three </w:t>
      </w:r>
      <w:r w:rsidR="00C30987">
        <w:rPr>
          <w:lang w:val="en-AU"/>
        </w:rPr>
        <w:t>Level 2 legal practitioner</w:t>
      </w:r>
      <w:r w:rsidR="00B23922">
        <w:rPr>
          <w:lang w:val="en-AU"/>
        </w:rPr>
        <w:t>s</w:t>
      </w:r>
      <w:r w:rsidR="00C30987">
        <w:rPr>
          <w:lang w:val="en-AU"/>
        </w:rPr>
        <w:t xml:space="preserve"> and an </w:t>
      </w:r>
      <w:r w:rsidR="00DE472D">
        <w:rPr>
          <w:lang w:val="en-AU"/>
        </w:rPr>
        <w:t>e</w:t>
      </w:r>
      <w:r w:rsidR="00C30987">
        <w:rPr>
          <w:lang w:val="en-AU"/>
        </w:rPr>
        <w:t>xecutive</w:t>
      </w:r>
      <w:r w:rsidR="00DE472D">
        <w:rPr>
          <w:lang w:val="en-AU"/>
        </w:rPr>
        <w:t xml:space="preserve"> o</w:t>
      </w:r>
      <w:r w:rsidR="00C30987">
        <w:rPr>
          <w:lang w:val="en-AU"/>
        </w:rPr>
        <w:t>fficer</w:t>
      </w:r>
      <w:r>
        <w:rPr>
          <w:lang w:val="en-AU"/>
        </w:rPr>
        <w:t xml:space="preserve"> during the relevant period</w:t>
      </w:r>
      <w:r w:rsidR="00C30987">
        <w:rPr>
          <w:lang w:val="en-AU"/>
        </w:rPr>
        <w:t xml:space="preserve">. </w:t>
      </w:r>
    </w:p>
    <w:p w:rsidR="006B21C2" w:rsidRDefault="00DE472D" w:rsidP="00FA7F15">
      <w:pPr>
        <w:pStyle w:val="ParaPlain"/>
        <w:rPr>
          <w:lang w:val="en-AU"/>
        </w:rPr>
      </w:pPr>
      <w:r>
        <w:rPr>
          <w:lang w:val="en-AU"/>
        </w:rPr>
        <w:t>Although number</w:t>
      </w:r>
      <w:r w:rsidR="00206CFC">
        <w:rPr>
          <w:lang w:val="en-AU"/>
        </w:rPr>
        <w:t>s</w:t>
      </w:r>
      <w:r>
        <w:rPr>
          <w:lang w:val="en-AU"/>
        </w:rPr>
        <w:t xml:space="preserve"> fluctuated during the period, t</w:t>
      </w:r>
      <w:r w:rsidR="006B21C2">
        <w:rPr>
          <w:lang w:val="en-AU"/>
        </w:rPr>
        <w:t xml:space="preserve">he Litigation section </w:t>
      </w:r>
      <w:r>
        <w:rPr>
          <w:lang w:val="en-AU"/>
        </w:rPr>
        <w:t xml:space="preserve">mostly </w:t>
      </w:r>
      <w:r w:rsidR="006B21C2">
        <w:rPr>
          <w:lang w:val="en-AU"/>
        </w:rPr>
        <w:t>comprised the Assistant Solicitor-General (Litigation), three Level 4 legal practitioners, f</w:t>
      </w:r>
      <w:r>
        <w:rPr>
          <w:lang w:val="en-AU"/>
        </w:rPr>
        <w:t>ive</w:t>
      </w:r>
      <w:r w:rsidR="006B21C2">
        <w:rPr>
          <w:lang w:val="en-AU"/>
        </w:rPr>
        <w:t xml:space="preserve"> Level 3 legal practitioners, three Level 2 legal practitioners, t</w:t>
      </w:r>
      <w:r>
        <w:rPr>
          <w:lang w:val="en-AU"/>
        </w:rPr>
        <w:t xml:space="preserve">hree </w:t>
      </w:r>
      <w:r w:rsidR="006B21C2">
        <w:rPr>
          <w:lang w:val="en-AU"/>
        </w:rPr>
        <w:t>Level 1 legal practitioners, a legal clerk and 5 administrati</w:t>
      </w:r>
      <w:r>
        <w:rPr>
          <w:lang w:val="en-AU"/>
        </w:rPr>
        <w:t>ve assistants</w:t>
      </w:r>
      <w:r w:rsidR="006B21C2">
        <w:rPr>
          <w:lang w:val="en-AU"/>
        </w:rPr>
        <w:t xml:space="preserve">. </w:t>
      </w:r>
    </w:p>
    <w:p w:rsidR="00DC05BF" w:rsidRDefault="00DC05BF" w:rsidP="000309EA">
      <w:pPr>
        <w:pStyle w:val="Heading1"/>
      </w:pPr>
      <w:r>
        <w:t>Health and Wellbeing</w:t>
      </w:r>
    </w:p>
    <w:p w:rsidR="001B10DC" w:rsidRDefault="001B10DC" w:rsidP="00DC05BF">
      <w:pPr>
        <w:pStyle w:val="ParaPlain"/>
      </w:pPr>
      <w:r>
        <w:t>Wellb</w:t>
      </w:r>
      <w:r w:rsidR="00DE472D">
        <w:t>eing is an ongoing concern with</w:t>
      </w:r>
      <w:r>
        <w:t xml:space="preserve"> stress</w:t>
      </w:r>
      <w:r w:rsidR="00DE472D">
        <w:t xml:space="preserve"> levels</w:t>
      </w:r>
      <w:r>
        <w:t xml:space="preserve"> and burnout </w:t>
      </w:r>
      <w:r w:rsidR="00DE472D">
        <w:t>reaching unprecedented heights</w:t>
      </w:r>
      <w:r>
        <w:t xml:space="preserve">, exacerbated at times by vacancies in positions within the Office and the continuing pressure of high file loads. </w:t>
      </w:r>
      <w:r w:rsidR="00650B63">
        <w:t>In recognition of tho</w:t>
      </w:r>
      <w:r w:rsidR="005E20B1">
        <w:t>se concerns, s</w:t>
      </w:r>
      <w:r w:rsidR="00DB486A">
        <w:t>taff have been encouraged to utilise the wellbeing supports provided to them as employees</w:t>
      </w:r>
      <w:r w:rsidR="00DB58BA">
        <w:t xml:space="preserve"> of the Department of Justice. </w:t>
      </w:r>
      <w:r w:rsidR="00DB486A">
        <w:t xml:space="preserve">In addition, the Office has prioritised training and support in </w:t>
      </w:r>
      <w:r w:rsidR="005E20B1">
        <w:t xml:space="preserve">building </w:t>
      </w:r>
      <w:r w:rsidR="00DB486A">
        <w:t>resilience</w:t>
      </w:r>
      <w:r w:rsidR="005E20B1">
        <w:t xml:space="preserve"> and coping with vicarious trauma.</w:t>
      </w:r>
    </w:p>
    <w:p w:rsidR="00FA7F15" w:rsidRDefault="001B10DC" w:rsidP="00DC05BF">
      <w:pPr>
        <w:pStyle w:val="ParaPlain"/>
      </w:pPr>
      <w:r>
        <w:lastRenderedPageBreak/>
        <w:t>In order to alleviate that pressure, steps have been taken to brief matters to the private profession</w:t>
      </w:r>
      <w:r w:rsidR="00650B63">
        <w:t>,</w:t>
      </w:r>
      <w:r>
        <w:t xml:space="preserve"> as described in further detail below</w:t>
      </w:r>
      <w:r w:rsidR="00650B63">
        <w:t>,</w:t>
      </w:r>
      <w:r w:rsidR="00DE472D">
        <w:t xml:space="preserve"> and efforts are being made to recruit additional members of staff</w:t>
      </w:r>
      <w:r>
        <w:t xml:space="preserve">.  </w:t>
      </w:r>
    </w:p>
    <w:p w:rsidR="001979A5" w:rsidRDefault="001979A5" w:rsidP="001979A5">
      <w:pPr>
        <w:pStyle w:val="Heading1"/>
      </w:pPr>
      <w:r>
        <w:t>Funding</w:t>
      </w:r>
    </w:p>
    <w:p w:rsidR="004A04C0" w:rsidRDefault="00D37538" w:rsidP="00DC05BF">
      <w:pPr>
        <w:pStyle w:val="ParaPlain"/>
      </w:pPr>
      <w:r>
        <w:t>The Office</w:t>
      </w:r>
      <w:r w:rsidR="001979A5" w:rsidRPr="001979A5">
        <w:t xml:space="preserve"> of the Solicitor-General is fully fu</w:t>
      </w:r>
      <w:r w:rsidR="001979A5">
        <w:t>n</w:t>
      </w:r>
      <w:r w:rsidR="00DB58BA">
        <w:t xml:space="preserve">ded from the Consolidated Fund. </w:t>
      </w:r>
      <w:r w:rsidR="001979A5">
        <w:t xml:space="preserve">Whilst its services are provided free of charge, contributions are received from </w:t>
      </w:r>
      <w:r w:rsidR="00DE3596">
        <w:t>Agencies</w:t>
      </w:r>
      <w:r w:rsidR="001979A5">
        <w:t xml:space="preserve"> in order to</w:t>
      </w:r>
      <w:r w:rsidR="001979A5" w:rsidRPr="001979A5">
        <w:t xml:space="preserve"> manage the workers compensation program and to manage abuse in care cases</w:t>
      </w:r>
      <w:r w:rsidR="00DB58BA">
        <w:t xml:space="preserve">. </w:t>
      </w:r>
      <w:r w:rsidR="001979A5">
        <w:t xml:space="preserve">It is likely that further consideration will be given to the manner in which </w:t>
      </w:r>
      <w:r w:rsidR="00650B63">
        <w:t>services are</w:t>
      </w:r>
      <w:r w:rsidR="001979A5">
        <w:t xml:space="preserve"> funded, particularly with</w:t>
      </w:r>
      <w:r w:rsidR="00DB58BA">
        <w:t xml:space="preserve"> regard to litigation services. </w:t>
      </w:r>
      <w:r w:rsidR="001979A5">
        <w:t xml:space="preserve">The provision of additional funding by </w:t>
      </w:r>
      <w:r w:rsidR="00DE3596">
        <w:t>Agencies</w:t>
      </w:r>
      <w:r w:rsidR="001979A5">
        <w:t xml:space="preserve"> to support the workload of </w:t>
      </w:r>
      <w:r>
        <w:t>the Office</w:t>
      </w:r>
      <w:r w:rsidR="001979A5">
        <w:t xml:space="preserve"> is expected to deliver a better return to government by allowing matters to be attended to which cannot presently be prioritised.</w:t>
      </w:r>
    </w:p>
    <w:p w:rsidR="00473905" w:rsidRPr="00C07D46" w:rsidRDefault="00615096" w:rsidP="004F2331">
      <w:pPr>
        <w:pStyle w:val="Heading1"/>
      </w:pPr>
      <w:r>
        <w:t>4</w:t>
      </w:r>
      <w:r w:rsidR="00473905" w:rsidRPr="00C07D46">
        <w:t>.</w:t>
      </w:r>
      <w:r w:rsidR="00473905" w:rsidRPr="00C07D46">
        <w:tab/>
        <w:t>PROFESSIONAL</w:t>
      </w:r>
    </w:p>
    <w:p w:rsidR="00473905" w:rsidRPr="00C07D46" w:rsidRDefault="00473905" w:rsidP="004F2331">
      <w:pPr>
        <w:pStyle w:val="Heading1"/>
      </w:pPr>
      <w:r w:rsidRPr="00C07D46">
        <w:t>Advisings</w:t>
      </w:r>
    </w:p>
    <w:p w:rsidR="0076604D" w:rsidRDefault="0076604D" w:rsidP="004F2331">
      <w:pPr>
        <w:pStyle w:val="ParaPlain"/>
        <w:rPr>
          <w:lang w:val="en-AU"/>
        </w:rPr>
      </w:pPr>
      <w:r w:rsidRPr="0076604D">
        <w:rPr>
          <w:lang w:val="en-AU"/>
        </w:rPr>
        <w:t>The practitioners in the Advisings sect</w:t>
      </w:r>
      <w:r w:rsidR="007E7316">
        <w:rPr>
          <w:lang w:val="en-AU"/>
        </w:rPr>
        <w:t>ion give legal advice</w:t>
      </w:r>
      <w:r w:rsidRPr="0076604D">
        <w:rPr>
          <w:lang w:val="en-AU"/>
        </w:rPr>
        <w:t xml:space="preserve"> to Ministers, </w:t>
      </w:r>
      <w:r w:rsidR="00DE3596">
        <w:rPr>
          <w:lang w:val="en-AU"/>
        </w:rPr>
        <w:t>Agencies</w:t>
      </w:r>
      <w:r w:rsidR="00F20639">
        <w:rPr>
          <w:lang w:val="en-AU"/>
        </w:rPr>
        <w:t>,</w:t>
      </w:r>
      <w:r w:rsidRPr="0076604D">
        <w:rPr>
          <w:lang w:val="en-AU"/>
        </w:rPr>
        <w:t xml:space="preserve"> statutory authorities and Crown instr</w:t>
      </w:r>
      <w:r w:rsidR="00DB58BA">
        <w:rPr>
          <w:lang w:val="en-AU"/>
        </w:rPr>
        <w:t xml:space="preserve">umentalities. </w:t>
      </w:r>
      <w:r w:rsidRPr="0076604D">
        <w:rPr>
          <w:lang w:val="en-AU"/>
        </w:rPr>
        <w:t>They also appear in cases in which constitutional issues arise and in which Tasmania is a party, or</w:t>
      </w:r>
      <w:r w:rsidR="003D66D2">
        <w:rPr>
          <w:lang w:val="en-AU"/>
        </w:rPr>
        <w:t xml:space="preserve"> the Attorney-General</w:t>
      </w:r>
      <w:r w:rsidR="00DB58BA">
        <w:rPr>
          <w:lang w:val="en-AU"/>
        </w:rPr>
        <w:t xml:space="preserve"> elects to intervene. </w:t>
      </w:r>
      <w:r w:rsidRPr="0076604D">
        <w:rPr>
          <w:lang w:val="en-AU"/>
        </w:rPr>
        <w:t>In addition to those functions, there have been continuing opportunities for practitioners in Advisings to appear as counsel in a range of</w:t>
      </w:r>
      <w:r w:rsidR="001C5CCD">
        <w:rPr>
          <w:lang w:val="en-AU"/>
        </w:rPr>
        <w:t xml:space="preserve"> </w:t>
      </w:r>
      <w:r w:rsidR="00F424E1">
        <w:rPr>
          <w:lang w:val="en-AU"/>
        </w:rPr>
        <w:t>court</w:t>
      </w:r>
      <w:r w:rsidR="001C5CCD">
        <w:rPr>
          <w:lang w:val="en-AU"/>
        </w:rPr>
        <w:t xml:space="preserve"> matters</w:t>
      </w:r>
      <w:r w:rsidR="003C7BD6">
        <w:rPr>
          <w:lang w:val="en-AU"/>
        </w:rPr>
        <w:t>.</w:t>
      </w:r>
    </w:p>
    <w:p w:rsidR="00674313" w:rsidRDefault="00A71094" w:rsidP="004F2331">
      <w:pPr>
        <w:pStyle w:val="ParaPlain"/>
        <w:rPr>
          <w:lang w:val="en-AU"/>
        </w:rPr>
      </w:pPr>
      <w:r>
        <w:rPr>
          <w:lang w:val="en-AU"/>
        </w:rPr>
        <w:t xml:space="preserve">The </w:t>
      </w:r>
      <w:r w:rsidR="00594989">
        <w:rPr>
          <w:lang w:val="en-AU"/>
        </w:rPr>
        <w:t>Office continues to provide advice on complex and novel matters</w:t>
      </w:r>
      <w:r w:rsidR="00DB58BA">
        <w:rPr>
          <w:lang w:val="en-AU"/>
        </w:rPr>
        <w:t xml:space="preserve">. </w:t>
      </w:r>
      <w:r w:rsidR="00116F3B">
        <w:rPr>
          <w:lang w:val="en-AU"/>
        </w:rPr>
        <w:t>As in previous years, there has been a continuing trend towards demands for urgent advice, often in circumstances of perc</w:t>
      </w:r>
      <w:r w:rsidR="00DB58BA">
        <w:rPr>
          <w:lang w:val="en-AU"/>
        </w:rPr>
        <w:t xml:space="preserve">eived rather than real urgency. </w:t>
      </w:r>
      <w:r w:rsidR="00116F3B">
        <w:rPr>
          <w:lang w:val="en-AU"/>
        </w:rPr>
        <w:t xml:space="preserve">Practitioners strive to accommodate those demands </w:t>
      </w:r>
      <w:r w:rsidR="00674313">
        <w:rPr>
          <w:lang w:val="en-AU"/>
        </w:rPr>
        <w:t>but with a view to ensuring that accuracy is not compromised whilst also ensuring that non-</w:t>
      </w:r>
      <w:r w:rsidR="00DB58BA">
        <w:rPr>
          <w:lang w:val="en-AU"/>
        </w:rPr>
        <w:t xml:space="preserve">urgent matters are attended to. </w:t>
      </w:r>
      <w:r w:rsidR="00674313">
        <w:rPr>
          <w:lang w:val="en-AU"/>
        </w:rPr>
        <w:t xml:space="preserve">It continues to be the case that advice remains frank and fearless and I am pleased to report that I am not aware of any practitioner being put under pressure to </w:t>
      </w:r>
      <w:r w:rsidR="007E7316">
        <w:rPr>
          <w:lang w:val="en-AU"/>
        </w:rPr>
        <w:t>act</w:t>
      </w:r>
      <w:r w:rsidR="00674313">
        <w:rPr>
          <w:lang w:val="en-AU"/>
        </w:rPr>
        <w:t xml:space="preserve"> otherwise. </w:t>
      </w:r>
    </w:p>
    <w:p w:rsidR="00473905" w:rsidRDefault="00473905" w:rsidP="004F2331">
      <w:pPr>
        <w:pStyle w:val="ParaPlain"/>
        <w:rPr>
          <w:lang w:val="en-AU"/>
        </w:rPr>
      </w:pPr>
      <w:r w:rsidRPr="00C07D46">
        <w:rPr>
          <w:lang w:val="en-AU"/>
        </w:rPr>
        <w:t>A summary of the advice</w:t>
      </w:r>
      <w:r w:rsidR="00325476" w:rsidRPr="00C07D46">
        <w:rPr>
          <w:lang w:val="en-AU"/>
        </w:rPr>
        <w:t xml:space="preserve"> files opened</w:t>
      </w:r>
      <w:r w:rsidR="00D27A59" w:rsidRPr="00C07D46">
        <w:rPr>
          <w:lang w:val="en-AU"/>
        </w:rPr>
        <w:t xml:space="preserve"> </w:t>
      </w:r>
      <w:r w:rsidRPr="00C07D46">
        <w:rPr>
          <w:lang w:val="en-AU"/>
        </w:rPr>
        <w:t>during the relevant period</w:t>
      </w:r>
      <w:r w:rsidR="00D27A59" w:rsidRPr="00C07D46">
        <w:rPr>
          <w:lang w:val="en-AU"/>
        </w:rPr>
        <w:t xml:space="preserve"> is annexed at</w:t>
      </w:r>
      <w:r w:rsidR="00DB58BA">
        <w:rPr>
          <w:lang w:val="en-AU"/>
        </w:rPr>
        <w:t xml:space="preserve"> Schedule 1. </w:t>
      </w:r>
      <w:r w:rsidRPr="00C07D46">
        <w:rPr>
          <w:lang w:val="en-AU"/>
        </w:rPr>
        <w:t>For ease of comparison</w:t>
      </w:r>
      <w:r w:rsidR="00650B63">
        <w:rPr>
          <w:lang w:val="en-AU"/>
        </w:rPr>
        <w:t>,</w:t>
      </w:r>
      <w:r w:rsidRPr="00C07D46">
        <w:rPr>
          <w:lang w:val="en-AU"/>
        </w:rPr>
        <w:t xml:space="preserve"> the same details for the immediately preceding 12 month period are also included.</w:t>
      </w:r>
      <w:r w:rsidR="00EF178B" w:rsidRPr="00C07D46">
        <w:rPr>
          <w:lang w:val="en-AU"/>
        </w:rPr>
        <w:t xml:space="preserve"> </w:t>
      </w:r>
      <w:r w:rsidR="00842032">
        <w:rPr>
          <w:lang w:val="en-AU"/>
        </w:rPr>
        <w:t>It should be noted that the number of files opened is not directly reflective of the amount of work undertaken as it is often the case that multiple advices are provided</w:t>
      </w:r>
      <w:r w:rsidR="00DB58BA">
        <w:rPr>
          <w:lang w:val="en-AU"/>
        </w:rPr>
        <w:t xml:space="preserve"> with respect to a single file. </w:t>
      </w:r>
      <w:r w:rsidR="00842032">
        <w:rPr>
          <w:lang w:val="en-AU"/>
        </w:rPr>
        <w:t xml:space="preserve">For example, a significant amount of advice was provided in relation to matters concerning the Commission of Inquiry </w:t>
      </w:r>
      <w:r w:rsidR="007E7316">
        <w:rPr>
          <w:lang w:val="en-AU"/>
        </w:rPr>
        <w:t xml:space="preserve">which is </w:t>
      </w:r>
      <w:r w:rsidR="00842032">
        <w:rPr>
          <w:lang w:val="en-AU"/>
        </w:rPr>
        <w:t>attrib</w:t>
      </w:r>
      <w:r w:rsidR="00DB58BA">
        <w:rPr>
          <w:lang w:val="en-AU"/>
        </w:rPr>
        <w:t xml:space="preserve">uted to a single file. </w:t>
      </w:r>
      <w:r w:rsidR="00842032">
        <w:rPr>
          <w:lang w:val="en-AU"/>
        </w:rPr>
        <w:t xml:space="preserve">Notably, during the reporting period approximately </w:t>
      </w:r>
      <w:r w:rsidR="007E7316">
        <w:rPr>
          <w:lang w:val="en-AU"/>
        </w:rPr>
        <w:t>74</w:t>
      </w:r>
      <w:r w:rsidR="00896507">
        <w:rPr>
          <w:lang w:val="en-AU"/>
        </w:rPr>
        <w:t>6</w:t>
      </w:r>
      <w:r w:rsidR="007E7316">
        <w:rPr>
          <w:lang w:val="en-AU"/>
        </w:rPr>
        <w:t xml:space="preserve"> </w:t>
      </w:r>
      <w:r w:rsidR="00842032">
        <w:rPr>
          <w:lang w:val="en-AU"/>
        </w:rPr>
        <w:t>separate pieces of advice were provided</w:t>
      </w:r>
      <w:r w:rsidR="007E7316">
        <w:rPr>
          <w:lang w:val="en-AU"/>
        </w:rPr>
        <w:t xml:space="preserve"> (compared to the figure of 570 recorded in the Schedule)</w:t>
      </w:r>
      <w:r w:rsidR="00842032">
        <w:rPr>
          <w:lang w:val="en-AU"/>
        </w:rPr>
        <w:t>.</w:t>
      </w:r>
    </w:p>
    <w:p w:rsidR="00EE5F26" w:rsidRPr="00C07D46" w:rsidRDefault="007E7316" w:rsidP="004F2331">
      <w:pPr>
        <w:pStyle w:val="ParaPlain"/>
        <w:rPr>
          <w:lang w:val="en-AU"/>
        </w:rPr>
      </w:pPr>
      <w:r w:rsidRPr="007E7316">
        <w:rPr>
          <w:lang w:val="en-AU"/>
        </w:rPr>
        <w:t xml:space="preserve">I am a member of the Indemnity and Legal Assistance Panel </w:t>
      </w:r>
      <w:r>
        <w:rPr>
          <w:lang w:val="en-AU"/>
        </w:rPr>
        <w:t xml:space="preserve">which is chaired by the Secretary of the Department </w:t>
      </w:r>
      <w:r w:rsidR="00B23922">
        <w:rPr>
          <w:lang w:val="en-AU"/>
        </w:rPr>
        <w:t>of</w:t>
      </w:r>
      <w:r>
        <w:rPr>
          <w:lang w:val="en-AU"/>
        </w:rPr>
        <w:t xml:space="preserve"> Justice and </w:t>
      </w:r>
      <w:r w:rsidRPr="007E7316">
        <w:rPr>
          <w:lang w:val="en-AU"/>
        </w:rPr>
        <w:t>established pursuant to the Policy and Guidelines for the Grant of Indemnities and Legal Assistance to Public Officers.</w:t>
      </w:r>
      <w:r w:rsidR="00BE375F">
        <w:rPr>
          <w:lang w:val="en-AU"/>
        </w:rPr>
        <w:t xml:space="preserve"> </w:t>
      </w:r>
      <w:r w:rsidR="00EE5F26">
        <w:rPr>
          <w:lang w:val="en-AU"/>
        </w:rPr>
        <w:t>Whilst indemnity matters are not usually reported upon</w:t>
      </w:r>
      <w:r w:rsidR="00DE472D">
        <w:rPr>
          <w:lang w:val="en-AU"/>
        </w:rPr>
        <w:t xml:space="preserve"> in this report</w:t>
      </w:r>
      <w:r w:rsidR="00EE5F26">
        <w:rPr>
          <w:lang w:val="en-AU"/>
        </w:rPr>
        <w:t>, the</w:t>
      </w:r>
      <w:r w:rsidR="00DE472D">
        <w:rPr>
          <w:lang w:val="en-AU"/>
        </w:rPr>
        <w:t>re has been a</w:t>
      </w:r>
      <w:r w:rsidR="00EE5F26">
        <w:rPr>
          <w:lang w:val="en-AU"/>
        </w:rPr>
        <w:t xml:space="preserve"> marked increase in applications </w:t>
      </w:r>
      <w:r w:rsidR="00104C73">
        <w:rPr>
          <w:lang w:val="en-AU"/>
        </w:rPr>
        <w:t xml:space="preserve">received pursuant to </w:t>
      </w:r>
      <w:r w:rsidR="00DE472D">
        <w:rPr>
          <w:lang w:val="en-AU"/>
        </w:rPr>
        <w:t xml:space="preserve">the policy (and the associated </w:t>
      </w:r>
      <w:r w:rsidR="00104C73">
        <w:rPr>
          <w:lang w:val="en-AU"/>
        </w:rPr>
        <w:t>Employment Direction No. 16</w:t>
      </w:r>
      <w:r w:rsidR="00DE472D">
        <w:rPr>
          <w:lang w:val="en-AU"/>
        </w:rPr>
        <w:t>)</w:t>
      </w:r>
      <w:r w:rsidR="00104C73">
        <w:rPr>
          <w:lang w:val="en-AU"/>
        </w:rPr>
        <w:t xml:space="preserve"> </w:t>
      </w:r>
      <w:r w:rsidR="00DE472D">
        <w:rPr>
          <w:lang w:val="en-AU"/>
        </w:rPr>
        <w:t xml:space="preserve">which </w:t>
      </w:r>
      <w:r w:rsidR="00EE5F26">
        <w:rPr>
          <w:lang w:val="en-AU"/>
        </w:rPr>
        <w:t>has created a noti</w:t>
      </w:r>
      <w:r w:rsidR="00DB58BA">
        <w:rPr>
          <w:lang w:val="en-AU"/>
        </w:rPr>
        <w:t>c</w:t>
      </w:r>
      <w:r w:rsidR="00BE375F">
        <w:rPr>
          <w:lang w:val="en-AU"/>
        </w:rPr>
        <w:t>eable addition to my workload. H</w:t>
      </w:r>
      <w:r w:rsidR="00104C73">
        <w:rPr>
          <w:lang w:val="en-AU"/>
        </w:rPr>
        <w:t>owever, t</w:t>
      </w:r>
      <w:r w:rsidR="00EE5F26">
        <w:rPr>
          <w:lang w:val="en-AU"/>
        </w:rPr>
        <w:t xml:space="preserve">he increase in the number of indemnity matters opened compared to the previous year may largely be explained by the number of applications </w:t>
      </w:r>
      <w:r w:rsidR="00EE5F26">
        <w:rPr>
          <w:lang w:val="en-AU"/>
        </w:rPr>
        <w:lastRenderedPageBreak/>
        <w:t xml:space="preserve">received in response to matters arising in the Commission of Inquiry and </w:t>
      </w:r>
      <w:r w:rsidR="00DE472D">
        <w:rPr>
          <w:lang w:val="en-AU"/>
        </w:rPr>
        <w:t xml:space="preserve">I anticipate </w:t>
      </w:r>
      <w:r w:rsidR="00EE5F26">
        <w:rPr>
          <w:lang w:val="en-AU"/>
        </w:rPr>
        <w:t xml:space="preserve">is </w:t>
      </w:r>
      <w:r w:rsidR="00DE472D">
        <w:rPr>
          <w:lang w:val="en-AU"/>
        </w:rPr>
        <w:t>un</w:t>
      </w:r>
      <w:r w:rsidR="00EE5F26">
        <w:rPr>
          <w:lang w:val="en-AU"/>
        </w:rPr>
        <w:t>likely to be reflected in future periods.</w:t>
      </w:r>
      <w:r>
        <w:rPr>
          <w:lang w:val="en-AU"/>
        </w:rPr>
        <w:t xml:space="preserve"> </w:t>
      </w:r>
    </w:p>
    <w:p w:rsidR="00473905" w:rsidRPr="00C07D46" w:rsidRDefault="00473905" w:rsidP="004F2331">
      <w:pPr>
        <w:pStyle w:val="Heading1"/>
      </w:pPr>
      <w:r w:rsidRPr="00C07D46">
        <w:t>Section 78B Notices</w:t>
      </w:r>
    </w:p>
    <w:p w:rsidR="00473905" w:rsidRPr="00D0781A" w:rsidRDefault="00862976" w:rsidP="00A20947">
      <w:pPr>
        <w:pStyle w:val="ParaPlain"/>
        <w:rPr>
          <w:lang w:val="en-AU"/>
        </w:rPr>
      </w:pPr>
      <w:r>
        <w:rPr>
          <w:lang w:val="en-AU"/>
        </w:rPr>
        <w:t xml:space="preserve">It is a requirement </w:t>
      </w:r>
      <w:r w:rsidR="00A20947">
        <w:rPr>
          <w:lang w:val="en-AU"/>
        </w:rPr>
        <w:t xml:space="preserve">under s 78B of the </w:t>
      </w:r>
      <w:r w:rsidR="00A20947" w:rsidRPr="00A20947">
        <w:rPr>
          <w:i/>
          <w:lang w:val="en-AU"/>
        </w:rPr>
        <w:t>Judiciary Act 1903</w:t>
      </w:r>
      <w:r w:rsidR="00A20947">
        <w:rPr>
          <w:lang w:val="en-AU"/>
        </w:rPr>
        <w:t xml:space="preserve"> (Cth) that if there is a cause pending in a court involving a matter arising under the Constitution or involving its interpretation, that notice of the nature of the matter be given to the Attorneys-General of the Commonwealth and of the States before the court i</w:t>
      </w:r>
      <w:r w:rsidR="00DB58BA">
        <w:rPr>
          <w:lang w:val="en-AU"/>
        </w:rPr>
        <w:t xml:space="preserve">s able to proceed in the cause. </w:t>
      </w:r>
      <w:r w:rsidR="00A20947">
        <w:rPr>
          <w:lang w:val="en-AU"/>
        </w:rPr>
        <w:t xml:space="preserve">As a matter of practice, those notices are forwarded </w:t>
      </w:r>
      <w:r w:rsidR="00650B63">
        <w:rPr>
          <w:lang w:val="en-AU"/>
        </w:rPr>
        <w:t>to the Advisings section of my O</w:t>
      </w:r>
      <w:r w:rsidR="00A20947">
        <w:rPr>
          <w:lang w:val="en-AU"/>
        </w:rPr>
        <w:t xml:space="preserve">ffice for the provision of advice to the Attorney-General. </w:t>
      </w:r>
      <w:r>
        <w:rPr>
          <w:lang w:val="en-AU"/>
        </w:rPr>
        <w:t xml:space="preserve">Due to the sheer volume of those matters, only those which </w:t>
      </w:r>
      <w:r w:rsidR="00A20947">
        <w:rPr>
          <w:lang w:val="en-AU"/>
        </w:rPr>
        <w:t>may be</w:t>
      </w:r>
      <w:r>
        <w:rPr>
          <w:lang w:val="en-AU"/>
        </w:rPr>
        <w:t xml:space="preserve"> </w:t>
      </w:r>
      <w:r w:rsidRPr="00D0781A">
        <w:rPr>
          <w:lang w:val="en-AU"/>
        </w:rPr>
        <w:t xml:space="preserve">considered appropriate for </w:t>
      </w:r>
      <w:r w:rsidR="00473905" w:rsidRPr="00D0781A">
        <w:rPr>
          <w:lang w:val="en-AU"/>
        </w:rPr>
        <w:t>intervention by the State</w:t>
      </w:r>
      <w:r w:rsidRPr="00D0781A">
        <w:rPr>
          <w:lang w:val="en-AU"/>
        </w:rPr>
        <w:t xml:space="preserve"> are referred to the Attorney-General.</w:t>
      </w:r>
      <w:r w:rsidR="00CE3B88">
        <w:rPr>
          <w:lang w:val="en-AU"/>
        </w:rPr>
        <w:t xml:space="preserve"> The number of notices considered during the reporting period are noted in Schedule 1.</w:t>
      </w:r>
    </w:p>
    <w:p w:rsidR="00837A06" w:rsidRPr="00C07D46" w:rsidRDefault="00837A06" w:rsidP="00837A06">
      <w:pPr>
        <w:pStyle w:val="Heading1"/>
      </w:pPr>
      <w:r w:rsidRPr="00C07D46">
        <w:t>Interventions in Constitutional Matters</w:t>
      </w:r>
    </w:p>
    <w:p w:rsidR="00837A06" w:rsidRPr="00C07D46" w:rsidRDefault="00837A06" w:rsidP="00837A06">
      <w:pPr>
        <w:pStyle w:val="ParaPlain"/>
        <w:rPr>
          <w:lang w:val="en-AU"/>
        </w:rPr>
      </w:pPr>
      <w:r w:rsidRPr="00C07D46">
        <w:rPr>
          <w:lang w:val="en-AU"/>
        </w:rPr>
        <w:t xml:space="preserve">During the relevant period, the </w:t>
      </w:r>
      <w:r w:rsidR="00C9494A">
        <w:rPr>
          <w:lang w:val="en-AU"/>
        </w:rPr>
        <w:t xml:space="preserve">Office represented the </w:t>
      </w:r>
      <w:r w:rsidRPr="00C07D46">
        <w:rPr>
          <w:lang w:val="en-AU"/>
        </w:rPr>
        <w:t>Attorney-General i</w:t>
      </w:r>
      <w:r w:rsidR="00C9494A">
        <w:rPr>
          <w:lang w:val="en-AU"/>
        </w:rPr>
        <w:t xml:space="preserve">n a number of constitutional </w:t>
      </w:r>
      <w:r w:rsidR="004C33B6">
        <w:rPr>
          <w:lang w:val="en-AU"/>
        </w:rPr>
        <w:t>matters</w:t>
      </w:r>
      <w:r w:rsidRPr="00C07D46">
        <w:rPr>
          <w:lang w:val="en-AU"/>
        </w:rPr>
        <w:t>.</w:t>
      </w:r>
    </w:p>
    <w:p w:rsidR="0013639E" w:rsidRPr="008C09C5" w:rsidRDefault="00715219" w:rsidP="009A03E8">
      <w:pPr>
        <w:shd w:val="clear" w:color="auto" w:fill="FFFFFF" w:themeFill="background1"/>
        <w:overflowPunct/>
        <w:autoSpaceDE/>
        <w:autoSpaceDN/>
        <w:adjustRightInd/>
        <w:spacing w:after="240" w:line="276" w:lineRule="auto"/>
        <w:textAlignment w:val="auto"/>
        <w:rPr>
          <w:u w:val="single"/>
        </w:rPr>
      </w:pPr>
      <w:r w:rsidRPr="008C09C5">
        <w:rPr>
          <w:i/>
          <w:u w:val="single"/>
        </w:rPr>
        <w:t>Vanderstock v State of Victoria (M61/2021)</w:t>
      </w:r>
    </w:p>
    <w:p w:rsidR="0013639E" w:rsidRPr="00715219" w:rsidRDefault="00715219" w:rsidP="008C09C5">
      <w:pPr>
        <w:shd w:val="clear" w:color="auto" w:fill="FFFFFF" w:themeFill="background1"/>
        <w:overflowPunct/>
        <w:autoSpaceDE/>
        <w:autoSpaceDN/>
        <w:adjustRightInd/>
        <w:spacing w:after="240"/>
        <w:jc w:val="both"/>
        <w:textAlignment w:val="auto"/>
        <w:rPr>
          <w:i/>
          <w:szCs w:val="24"/>
        </w:rPr>
      </w:pPr>
      <w:r>
        <w:t xml:space="preserve">This </w:t>
      </w:r>
      <w:r w:rsidR="00C9494A">
        <w:t xml:space="preserve">matter was heard over three days in the </w:t>
      </w:r>
      <w:r>
        <w:t>High Court</w:t>
      </w:r>
      <w:r w:rsidR="00C9494A">
        <w:t xml:space="preserve"> in February 2023</w:t>
      </w:r>
      <w:r w:rsidR="00CB1454">
        <w:t>.</w:t>
      </w:r>
      <w:r>
        <w:t xml:space="preserve"> </w:t>
      </w:r>
      <w:r w:rsidR="00CB1454">
        <w:t xml:space="preserve">It concerned a </w:t>
      </w:r>
      <w:r>
        <w:t xml:space="preserve">challenge to Victoria’s </w:t>
      </w:r>
      <w:r w:rsidR="0013639E" w:rsidRPr="009A03E8">
        <w:rPr>
          <w:rFonts w:eastAsiaTheme="minorHAnsi"/>
          <w:i/>
          <w:szCs w:val="24"/>
        </w:rPr>
        <w:t>Zero and Low Emission Vehicle Distance-based Charge Act 2021</w:t>
      </w:r>
      <w:r w:rsidR="00E75921">
        <w:rPr>
          <w:rFonts w:eastAsiaTheme="minorHAnsi"/>
          <w:szCs w:val="24"/>
        </w:rPr>
        <w:t xml:space="preserve">. </w:t>
      </w:r>
      <w:r w:rsidR="009932B8" w:rsidRPr="009932B8">
        <w:rPr>
          <w:rFonts w:eastAsiaTheme="minorHAnsi"/>
          <w:szCs w:val="24"/>
        </w:rPr>
        <w:t xml:space="preserve">The Act requires the registered operator of a </w:t>
      </w:r>
      <w:r w:rsidR="00B23922">
        <w:rPr>
          <w:rFonts w:eastAsiaTheme="minorHAnsi"/>
          <w:szCs w:val="24"/>
        </w:rPr>
        <w:t xml:space="preserve">zero or low emission vehicle </w:t>
      </w:r>
      <w:r w:rsidR="009932B8" w:rsidRPr="009932B8">
        <w:rPr>
          <w:rFonts w:eastAsiaTheme="minorHAnsi"/>
          <w:szCs w:val="24"/>
        </w:rPr>
        <w:t xml:space="preserve">to pay a charge for the use of </w:t>
      </w:r>
      <w:r w:rsidR="00E75921">
        <w:rPr>
          <w:rFonts w:eastAsiaTheme="minorHAnsi"/>
          <w:szCs w:val="24"/>
        </w:rPr>
        <w:t>t</w:t>
      </w:r>
      <w:r w:rsidR="00BE375F">
        <w:rPr>
          <w:rFonts w:eastAsiaTheme="minorHAnsi"/>
          <w:szCs w:val="24"/>
        </w:rPr>
        <w:t xml:space="preserve">he vehicle on specified roads. </w:t>
      </w:r>
      <w:r w:rsidR="00795CAE" w:rsidRPr="00795CAE">
        <w:rPr>
          <w:rFonts w:eastAsiaTheme="minorHAnsi"/>
          <w:szCs w:val="24"/>
        </w:rPr>
        <w:t xml:space="preserve">The Plaintiffs </w:t>
      </w:r>
      <w:r w:rsidR="00CB1454">
        <w:rPr>
          <w:rFonts w:eastAsiaTheme="minorHAnsi"/>
          <w:szCs w:val="24"/>
        </w:rPr>
        <w:t xml:space="preserve">argued </w:t>
      </w:r>
      <w:r w:rsidR="00795CAE" w:rsidRPr="00795CAE">
        <w:rPr>
          <w:rFonts w:eastAsiaTheme="minorHAnsi"/>
          <w:szCs w:val="24"/>
        </w:rPr>
        <w:t xml:space="preserve">that the </w:t>
      </w:r>
      <w:r w:rsidR="00795CAE">
        <w:rPr>
          <w:rFonts w:eastAsiaTheme="minorHAnsi"/>
          <w:szCs w:val="24"/>
        </w:rPr>
        <w:t>Act i</w:t>
      </w:r>
      <w:r w:rsidR="0013639E" w:rsidRPr="009A03E8">
        <w:rPr>
          <w:rFonts w:eastAsiaTheme="minorHAnsi"/>
          <w:szCs w:val="24"/>
        </w:rPr>
        <w:t>mposes a duty of excise within the meaning of s</w:t>
      </w:r>
      <w:r w:rsidR="00795CAE">
        <w:rPr>
          <w:rFonts w:eastAsiaTheme="minorHAnsi"/>
          <w:szCs w:val="24"/>
        </w:rPr>
        <w:t xml:space="preserve"> </w:t>
      </w:r>
      <w:r w:rsidR="0013639E" w:rsidRPr="009A03E8">
        <w:rPr>
          <w:rFonts w:eastAsiaTheme="minorHAnsi"/>
          <w:szCs w:val="24"/>
        </w:rPr>
        <w:t>90 of the Constitutio</w:t>
      </w:r>
      <w:r w:rsidR="00CF58AB" w:rsidRPr="00CF58AB">
        <w:rPr>
          <w:rFonts w:eastAsiaTheme="minorHAnsi"/>
          <w:szCs w:val="24"/>
        </w:rPr>
        <w:t>n</w:t>
      </w:r>
      <w:r w:rsidR="00795CAE">
        <w:rPr>
          <w:rFonts w:eastAsiaTheme="minorHAnsi"/>
          <w:szCs w:val="24"/>
        </w:rPr>
        <w:t xml:space="preserve"> and is therefore</w:t>
      </w:r>
      <w:r w:rsidR="00CB1454">
        <w:rPr>
          <w:rFonts w:eastAsiaTheme="minorHAnsi"/>
          <w:szCs w:val="24"/>
        </w:rPr>
        <w:t xml:space="preserve"> constitutionally</w:t>
      </w:r>
      <w:r w:rsidR="00795CAE">
        <w:rPr>
          <w:rFonts w:eastAsiaTheme="minorHAnsi"/>
          <w:szCs w:val="24"/>
        </w:rPr>
        <w:t xml:space="preserve"> invalid</w:t>
      </w:r>
      <w:r w:rsidR="0013639E" w:rsidRPr="009A03E8">
        <w:rPr>
          <w:rFonts w:eastAsiaTheme="minorHAnsi"/>
          <w:szCs w:val="24"/>
        </w:rPr>
        <w:t>.</w:t>
      </w:r>
      <w:r w:rsidR="00E75921">
        <w:rPr>
          <w:rFonts w:eastAsiaTheme="minorHAnsi"/>
          <w:szCs w:val="24"/>
        </w:rPr>
        <w:t xml:space="preserve">  </w:t>
      </w:r>
      <w:r w:rsidR="004C33B6">
        <w:rPr>
          <w:rFonts w:eastAsiaTheme="minorHAnsi"/>
          <w:szCs w:val="24"/>
        </w:rPr>
        <w:t>Arguments centred upon the meaning of a duty of excise for constitutional purposes.</w:t>
      </w:r>
      <w:r w:rsidR="004C33B6" w:rsidRPr="009A03E8" w:rsidDel="00CB1454">
        <w:rPr>
          <w:rFonts w:eastAsiaTheme="minorHAnsi"/>
          <w:szCs w:val="24"/>
        </w:rPr>
        <w:t xml:space="preserve"> </w:t>
      </w:r>
      <w:r w:rsidR="004C33B6">
        <w:rPr>
          <w:rFonts w:eastAsiaTheme="minorHAnsi"/>
          <w:szCs w:val="24"/>
        </w:rPr>
        <w:t xml:space="preserve">Judgment </w:t>
      </w:r>
      <w:r w:rsidR="007E7316">
        <w:rPr>
          <w:rFonts w:eastAsiaTheme="minorHAnsi"/>
          <w:szCs w:val="24"/>
        </w:rPr>
        <w:t>is</w:t>
      </w:r>
      <w:r w:rsidR="004C33B6">
        <w:rPr>
          <w:rFonts w:eastAsiaTheme="minorHAnsi"/>
          <w:szCs w:val="24"/>
        </w:rPr>
        <w:t xml:space="preserve"> reserved as at the date of this report.</w:t>
      </w:r>
      <w:r w:rsidR="0013639E" w:rsidRPr="009A03E8">
        <w:rPr>
          <w:rFonts w:eastAsiaTheme="minorHAnsi"/>
          <w:szCs w:val="24"/>
        </w:rPr>
        <w:t xml:space="preserve"> </w:t>
      </w:r>
    </w:p>
    <w:p w:rsidR="004C33B6" w:rsidRPr="00FE0DA0" w:rsidRDefault="004C33B6" w:rsidP="00837A06">
      <w:pPr>
        <w:pStyle w:val="ParaPlain"/>
        <w:rPr>
          <w:i/>
          <w:u w:val="single"/>
          <w:lang w:val="en-AU"/>
        </w:rPr>
      </w:pPr>
      <w:r w:rsidRPr="00FE0DA0">
        <w:rPr>
          <w:i/>
          <w:u w:val="single"/>
          <w:lang w:val="en-AU"/>
        </w:rPr>
        <w:t>Other matters</w:t>
      </w:r>
    </w:p>
    <w:p w:rsidR="00B95447" w:rsidRPr="00FE0DA0" w:rsidRDefault="001D7C7E" w:rsidP="00837A06">
      <w:pPr>
        <w:pStyle w:val="ParaPlain"/>
        <w:rPr>
          <w:lang w:val="en-AU"/>
        </w:rPr>
      </w:pPr>
      <w:r w:rsidRPr="00FE0DA0">
        <w:rPr>
          <w:lang w:val="en-AU"/>
        </w:rPr>
        <w:t xml:space="preserve">The </w:t>
      </w:r>
      <w:r w:rsidR="00D826DA" w:rsidRPr="00FE0DA0">
        <w:rPr>
          <w:lang w:val="en-AU"/>
        </w:rPr>
        <w:t xml:space="preserve">Office represented the </w:t>
      </w:r>
      <w:r w:rsidRPr="00FE0DA0">
        <w:rPr>
          <w:lang w:val="en-AU"/>
        </w:rPr>
        <w:t>A</w:t>
      </w:r>
      <w:r w:rsidR="00D826DA" w:rsidRPr="00FE0DA0">
        <w:rPr>
          <w:lang w:val="en-AU"/>
        </w:rPr>
        <w:t xml:space="preserve">ttorney-General, intervening, in a matter </w:t>
      </w:r>
      <w:r w:rsidR="007E7316">
        <w:rPr>
          <w:lang w:val="en-AU"/>
        </w:rPr>
        <w:t>involving</w:t>
      </w:r>
      <w:r w:rsidR="00B95447" w:rsidRPr="00FE0DA0">
        <w:rPr>
          <w:lang w:val="en-AU"/>
        </w:rPr>
        <w:t xml:space="preserve"> whether</w:t>
      </w:r>
      <w:r w:rsidR="00B95447" w:rsidRPr="00FE0DA0">
        <w:t xml:space="preserve"> the Tasmanian Civil and Administrative Tribunal (TASCAT) exercises judicial power in reviewing a determination made by the Motor Accidents Insurance Board for the purposes of considering whether federal jurisdiction was attracted in proceedings between a resident of another State and the Board.</w:t>
      </w:r>
    </w:p>
    <w:p w:rsidR="007E7316" w:rsidRDefault="0022796B" w:rsidP="00837A06">
      <w:pPr>
        <w:pStyle w:val="ParaPlain"/>
        <w:rPr>
          <w:lang w:val="en-AU"/>
        </w:rPr>
      </w:pPr>
      <w:r w:rsidRPr="00FE0DA0">
        <w:rPr>
          <w:lang w:val="en-AU"/>
        </w:rPr>
        <w:t>Representation w</w:t>
      </w:r>
      <w:r w:rsidR="00B95447" w:rsidRPr="00FE0DA0">
        <w:rPr>
          <w:lang w:val="en-AU"/>
        </w:rPr>
        <w:t xml:space="preserve">as also provided in the </w:t>
      </w:r>
      <w:r w:rsidR="00D826DA" w:rsidRPr="00FE0DA0">
        <w:rPr>
          <w:lang w:val="en-AU"/>
        </w:rPr>
        <w:t>Supreme Court in</w:t>
      </w:r>
      <w:r w:rsidR="00B95447" w:rsidRPr="00FE0DA0">
        <w:rPr>
          <w:lang w:val="en-AU"/>
        </w:rPr>
        <w:t xml:space="preserve"> </w:t>
      </w:r>
      <w:r w:rsidRPr="00FE0DA0">
        <w:rPr>
          <w:lang w:val="en-AU"/>
        </w:rPr>
        <w:t xml:space="preserve">a </w:t>
      </w:r>
      <w:r w:rsidR="00E864AE" w:rsidRPr="00FE0DA0">
        <w:rPr>
          <w:lang w:val="en-AU"/>
        </w:rPr>
        <w:t xml:space="preserve">challenge to the constitutional validity of s 125A of the Criminal Code </w:t>
      </w:r>
      <w:r w:rsidR="00C26E86" w:rsidRPr="00FE0DA0">
        <w:rPr>
          <w:lang w:val="en-AU"/>
        </w:rPr>
        <w:t>in connection with the requirements of jury unanimity</w:t>
      </w:r>
      <w:r w:rsidR="007E7316">
        <w:rPr>
          <w:lang w:val="en-AU"/>
        </w:rPr>
        <w:t xml:space="preserve">. </w:t>
      </w:r>
    </w:p>
    <w:p w:rsidR="00040FAF" w:rsidRDefault="007E7316" w:rsidP="00CF0F64">
      <w:pPr>
        <w:pStyle w:val="ParaPlain"/>
        <w:rPr>
          <w:lang w:val="en-AU"/>
        </w:rPr>
      </w:pPr>
      <w:r>
        <w:rPr>
          <w:lang w:val="en-AU"/>
        </w:rPr>
        <w:t xml:space="preserve">Further, representation continues to be provided in a Supreme Court challenge </w:t>
      </w:r>
      <w:r w:rsidR="00C26E86" w:rsidRPr="00FE0DA0">
        <w:rPr>
          <w:lang w:val="en-AU"/>
        </w:rPr>
        <w:t xml:space="preserve">to </w:t>
      </w:r>
      <w:r w:rsidR="00D826DA" w:rsidRPr="00FE0DA0">
        <w:rPr>
          <w:lang w:val="en-AU"/>
        </w:rPr>
        <w:t>the Code of Conduct provisions of the</w:t>
      </w:r>
      <w:r w:rsidR="00D826DA" w:rsidRPr="00FE0DA0">
        <w:rPr>
          <w:i/>
          <w:lang w:val="en-AU"/>
        </w:rPr>
        <w:t xml:space="preserve"> Local Government Act</w:t>
      </w:r>
      <w:r w:rsidR="00D826DA" w:rsidRPr="00FE0DA0">
        <w:rPr>
          <w:lang w:val="en-AU"/>
        </w:rPr>
        <w:t xml:space="preserve"> </w:t>
      </w:r>
      <w:r w:rsidR="00D826DA" w:rsidRPr="00FE0DA0">
        <w:rPr>
          <w:i/>
          <w:lang w:val="en-AU"/>
        </w:rPr>
        <w:t>1993</w:t>
      </w:r>
      <w:r>
        <w:rPr>
          <w:lang w:val="en-AU"/>
        </w:rPr>
        <w:t xml:space="preserve"> based upon the </w:t>
      </w:r>
      <w:r w:rsidR="00AA7247">
        <w:rPr>
          <w:lang w:val="en-AU"/>
        </w:rPr>
        <w:t xml:space="preserve">constitutionally </w:t>
      </w:r>
      <w:r>
        <w:rPr>
          <w:lang w:val="en-AU"/>
        </w:rPr>
        <w:t>implied freedom of political communication</w:t>
      </w:r>
      <w:r w:rsidR="00D826DA" w:rsidRPr="00FE0DA0">
        <w:rPr>
          <w:lang w:val="en-AU"/>
        </w:rPr>
        <w:t>.</w:t>
      </w:r>
    </w:p>
    <w:p w:rsidR="00CF0F64" w:rsidRDefault="00CF0F64" w:rsidP="00CF0F64">
      <w:pPr>
        <w:pStyle w:val="ParaPlain"/>
        <w:rPr>
          <w:lang w:val="en-AU"/>
        </w:rPr>
      </w:pPr>
    </w:p>
    <w:p w:rsidR="00CF0F64" w:rsidRPr="00CF0F64" w:rsidRDefault="00CF0F64" w:rsidP="00CF0F64">
      <w:pPr>
        <w:pStyle w:val="ParaPlain"/>
        <w:rPr>
          <w:lang w:val="en-AU"/>
        </w:rPr>
      </w:pPr>
    </w:p>
    <w:p w:rsidR="00AC780B" w:rsidRDefault="00AC780B" w:rsidP="00837A06">
      <w:pPr>
        <w:pStyle w:val="Heading1"/>
      </w:pPr>
      <w:r>
        <w:lastRenderedPageBreak/>
        <w:t>Other High Court matters</w:t>
      </w:r>
    </w:p>
    <w:p w:rsidR="00CB1454" w:rsidRPr="008C09C5" w:rsidRDefault="00CB1454" w:rsidP="009A03E8">
      <w:pPr>
        <w:pStyle w:val="ParaPlain"/>
        <w:rPr>
          <w:i/>
          <w:u w:val="single"/>
        </w:rPr>
      </w:pPr>
      <w:r w:rsidRPr="008C09C5">
        <w:rPr>
          <w:i/>
          <w:u w:val="single"/>
        </w:rPr>
        <w:t>Attorney-General for the State of Tasmania v Casimaty &amp; Anor</w:t>
      </w:r>
    </w:p>
    <w:p w:rsidR="00CB1454" w:rsidRDefault="00FC1525" w:rsidP="009A03E8">
      <w:pPr>
        <w:pStyle w:val="ParaPlain"/>
      </w:pPr>
      <w:r>
        <w:t>Representation is being provided in an application</w:t>
      </w:r>
      <w:r w:rsidR="0022796B">
        <w:t xml:space="preserve"> by the Attorney-General</w:t>
      </w:r>
      <w:r>
        <w:t xml:space="preserve"> </w:t>
      </w:r>
      <w:r w:rsidR="00CB1454">
        <w:t xml:space="preserve">to the High Court for special leave to appeal against the judgment of the Full Court of the Supreme Court in </w:t>
      </w:r>
      <w:r w:rsidR="00CB1454" w:rsidRPr="00FE0DA0">
        <w:rPr>
          <w:i/>
        </w:rPr>
        <w:t xml:space="preserve">Casimaty v Hazell Bros </w:t>
      </w:r>
      <w:r w:rsidR="00205395" w:rsidRPr="00FE0DA0">
        <w:rPr>
          <w:i/>
        </w:rPr>
        <w:t xml:space="preserve">Group </w:t>
      </w:r>
      <w:r w:rsidR="00CB1454" w:rsidRPr="00FE0DA0">
        <w:rPr>
          <w:i/>
        </w:rPr>
        <w:t>Pty Ltd</w:t>
      </w:r>
      <w:r w:rsidR="00CB1454">
        <w:t xml:space="preserve"> </w:t>
      </w:r>
      <w:r w:rsidR="00E75921">
        <w:t xml:space="preserve">[2023] TASFC 2. </w:t>
      </w:r>
      <w:r w:rsidR="00205395">
        <w:t xml:space="preserve">The case raises </w:t>
      </w:r>
      <w:r w:rsidR="00FE0DA0">
        <w:t>questions</w:t>
      </w:r>
      <w:r w:rsidR="00205395">
        <w:t xml:space="preserve"> relating to the interpretation of the </w:t>
      </w:r>
      <w:r w:rsidR="00205395" w:rsidRPr="00FE0DA0">
        <w:rPr>
          <w:i/>
        </w:rPr>
        <w:t>Public Works Committee Act 1914</w:t>
      </w:r>
      <w:r w:rsidR="00205395">
        <w:t xml:space="preserve"> </w:t>
      </w:r>
      <w:r w:rsidR="00FE0DA0">
        <w:t>and p</w:t>
      </w:r>
      <w:r w:rsidR="00E75921">
        <w:t xml:space="preserve">arliamentary privilege. </w:t>
      </w:r>
      <w:r w:rsidR="00205395">
        <w:t xml:space="preserve">The special leave application is </w:t>
      </w:r>
      <w:r w:rsidR="0022796B">
        <w:t>listed for hearing i</w:t>
      </w:r>
      <w:r w:rsidR="00205395">
        <w:t xml:space="preserve">n </w:t>
      </w:r>
      <w:r w:rsidR="0022796B">
        <w:t>O</w:t>
      </w:r>
      <w:r w:rsidR="00205395">
        <w:t>ctober.</w:t>
      </w:r>
    </w:p>
    <w:p w:rsidR="0000160B" w:rsidRPr="00C07D46" w:rsidRDefault="00D51357" w:rsidP="0000160B">
      <w:pPr>
        <w:pStyle w:val="Heading1"/>
      </w:pPr>
      <w:r>
        <w:t xml:space="preserve">Civil </w:t>
      </w:r>
      <w:r w:rsidR="0000160B" w:rsidRPr="00C07D46">
        <w:t>Litigation</w:t>
      </w:r>
    </w:p>
    <w:p w:rsidR="0000160B" w:rsidRPr="00C07D46" w:rsidRDefault="00D51357" w:rsidP="00595C60">
      <w:pPr>
        <w:pStyle w:val="ParaPlain"/>
      </w:pPr>
      <w:r>
        <w:rPr>
          <w:lang w:val="en-AU"/>
        </w:rPr>
        <w:t>With the exception of constitutional litigation, t</w:t>
      </w:r>
      <w:r w:rsidR="0000160B">
        <w:rPr>
          <w:lang w:val="en-AU"/>
        </w:rPr>
        <w:t xml:space="preserve">he </w:t>
      </w:r>
      <w:r w:rsidR="00EE5EFA">
        <w:rPr>
          <w:lang w:val="en-AU"/>
        </w:rPr>
        <w:t xml:space="preserve">civil </w:t>
      </w:r>
      <w:r w:rsidR="0000160B">
        <w:rPr>
          <w:lang w:val="en-AU"/>
        </w:rPr>
        <w:t xml:space="preserve">litigation functions of the State </w:t>
      </w:r>
      <w:r w:rsidR="00EE5EFA">
        <w:rPr>
          <w:lang w:val="en-AU"/>
        </w:rPr>
        <w:t xml:space="preserve">have been </w:t>
      </w:r>
      <w:r w:rsidR="00D57C94">
        <w:rPr>
          <w:lang w:val="en-AU"/>
        </w:rPr>
        <w:t>undertaken</w:t>
      </w:r>
      <w:r w:rsidR="0000160B">
        <w:rPr>
          <w:lang w:val="en-AU"/>
        </w:rPr>
        <w:t xml:space="preserve"> by the </w:t>
      </w:r>
      <w:r w:rsidR="0000160B" w:rsidRPr="00C07D46">
        <w:rPr>
          <w:lang w:val="en-AU"/>
        </w:rPr>
        <w:t xml:space="preserve">Litigation section of </w:t>
      </w:r>
      <w:r w:rsidR="00787F0F">
        <w:rPr>
          <w:lang w:val="en-AU"/>
        </w:rPr>
        <w:t>the O</w:t>
      </w:r>
      <w:r>
        <w:rPr>
          <w:lang w:val="en-AU"/>
        </w:rPr>
        <w:t>ffice</w:t>
      </w:r>
      <w:r w:rsidR="00312B1F" w:rsidRPr="00312B1F">
        <w:t xml:space="preserve"> </w:t>
      </w:r>
      <w:r w:rsidR="00EE5EFA">
        <w:t xml:space="preserve">which was </w:t>
      </w:r>
      <w:r w:rsidR="00312B1F" w:rsidRPr="00312B1F">
        <w:rPr>
          <w:lang w:val="en-AU"/>
        </w:rPr>
        <w:t>headed by</w:t>
      </w:r>
      <w:r w:rsidR="00AC5C9A">
        <w:rPr>
          <w:lang w:val="en-AU"/>
        </w:rPr>
        <w:t xml:space="preserve"> the</w:t>
      </w:r>
      <w:r w:rsidR="00312B1F" w:rsidRPr="00312B1F">
        <w:rPr>
          <w:lang w:val="en-AU"/>
        </w:rPr>
        <w:t xml:space="preserve"> Assistant Solicitor-General </w:t>
      </w:r>
      <w:r w:rsidR="00AC5C9A">
        <w:rPr>
          <w:lang w:val="en-AU"/>
        </w:rPr>
        <w:t xml:space="preserve">(Litigation), </w:t>
      </w:r>
      <w:r w:rsidR="00312B1F" w:rsidRPr="00312B1F">
        <w:rPr>
          <w:lang w:val="en-AU"/>
        </w:rPr>
        <w:t>Mr Paul Turner SC</w:t>
      </w:r>
      <w:r w:rsidR="00AC5C9A">
        <w:rPr>
          <w:lang w:val="en-AU"/>
        </w:rPr>
        <w:t>,</w:t>
      </w:r>
      <w:r w:rsidR="00EE5EFA">
        <w:rPr>
          <w:lang w:val="en-AU"/>
        </w:rPr>
        <w:t xml:space="preserve"> for the majority of the reporting period</w:t>
      </w:r>
      <w:r w:rsidR="0000160B" w:rsidRPr="00C07D46">
        <w:rPr>
          <w:lang w:val="en-AU"/>
        </w:rPr>
        <w:t xml:space="preserve">.  </w:t>
      </w:r>
    </w:p>
    <w:p w:rsidR="006C6482" w:rsidRDefault="00787F0F" w:rsidP="0000160B">
      <w:pPr>
        <w:pStyle w:val="ParaPlain"/>
        <w:rPr>
          <w:lang w:val="en-AU"/>
        </w:rPr>
      </w:pPr>
      <w:r>
        <w:rPr>
          <w:lang w:val="en-AU"/>
        </w:rPr>
        <w:t xml:space="preserve">The </w:t>
      </w:r>
      <w:r w:rsidR="00E0036D">
        <w:rPr>
          <w:lang w:val="en-AU"/>
        </w:rPr>
        <w:t xml:space="preserve">litigious work undertaken by the Office </w:t>
      </w:r>
      <w:r>
        <w:rPr>
          <w:lang w:val="en-AU"/>
        </w:rPr>
        <w:t>i</w:t>
      </w:r>
      <w:r w:rsidR="00E75921">
        <w:rPr>
          <w:lang w:val="en-AU"/>
        </w:rPr>
        <w:t xml:space="preserve">s diverse. </w:t>
      </w:r>
      <w:r>
        <w:rPr>
          <w:lang w:val="en-AU"/>
        </w:rPr>
        <w:t xml:space="preserve">However, a large component </w:t>
      </w:r>
      <w:r w:rsidR="00E0036D">
        <w:rPr>
          <w:lang w:val="en-AU"/>
        </w:rPr>
        <w:t xml:space="preserve">centres upon </w:t>
      </w:r>
      <w:r w:rsidR="0000160B">
        <w:rPr>
          <w:lang w:val="en-AU"/>
        </w:rPr>
        <w:t>employment matters (primarily workers compensation)</w:t>
      </w:r>
      <w:r w:rsidR="00E0036D">
        <w:rPr>
          <w:lang w:val="en-AU"/>
        </w:rPr>
        <w:t xml:space="preserve"> and claims in tort</w:t>
      </w:r>
      <w:r>
        <w:rPr>
          <w:lang w:val="en-AU"/>
        </w:rPr>
        <w:t xml:space="preserve"> </w:t>
      </w:r>
      <w:r w:rsidR="00440A3A">
        <w:rPr>
          <w:lang w:val="en-AU"/>
        </w:rPr>
        <w:t>(</w:t>
      </w:r>
      <w:r>
        <w:rPr>
          <w:lang w:val="en-AU"/>
        </w:rPr>
        <w:t>including</w:t>
      </w:r>
      <w:r w:rsidR="00707EAD">
        <w:rPr>
          <w:lang w:val="en-AU"/>
        </w:rPr>
        <w:t xml:space="preserve"> a considerable number of</w:t>
      </w:r>
      <w:r>
        <w:rPr>
          <w:lang w:val="en-AU"/>
        </w:rPr>
        <w:t xml:space="preserve"> claims relating to</w:t>
      </w:r>
      <w:r w:rsidR="000807DE">
        <w:rPr>
          <w:lang w:val="en-AU"/>
        </w:rPr>
        <w:t xml:space="preserve"> medical negligence and</w:t>
      </w:r>
      <w:r>
        <w:rPr>
          <w:lang w:val="en-AU"/>
        </w:rPr>
        <w:t xml:space="preserve"> historic child abuse</w:t>
      </w:r>
      <w:r w:rsidR="00440A3A">
        <w:rPr>
          <w:lang w:val="en-AU"/>
        </w:rPr>
        <w:t>)</w:t>
      </w:r>
      <w:r>
        <w:rPr>
          <w:lang w:val="en-AU"/>
        </w:rPr>
        <w:t>.</w:t>
      </w:r>
      <w:r w:rsidR="00E75921">
        <w:rPr>
          <w:lang w:val="en-AU"/>
        </w:rPr>
        <w:t xml:space="preserve"> </w:t>
      </w:r>
      <w:r w:rsidR="00CA5B5E">
        <w:rPr>
          <w:lang w:val="en-AU"/>
        </w:rPr>
        <w:t>The number of new</w:t>
      </w:r>
      <w:r w:rsidR="006225A2">
        <w:t xml:space="preserve"> matters</w:t>
      </w:r>
      <w:r w:rsidR="00CA5B5E">
        <w:rPr>
          <w:lang w:val="en-AU"/>
        </w:rPr>
        <w:t xml:space="preserve"> arising from child abuse steadily increased during the period</w:t>
      </w:r>
      <w:r w:rsidR="00E64D47">
        <w:rPr>
          <w:lang w:val="en-AU"/>
        </w:rPr>
        <w:t>,</w:t>
      </w:r>
      <w:r w:rsidR="00595C60">
        <w:rPr>
          <w:lang w:val="en-AU"/>
        </w:rPr>
        <w:t xml:space="preserve"> to the point of</w:t>
      </w:r>
      <w:r w:rsidR="00CA5B5E">
        <w:rPr>
          <w:lang w:val="en-AU"/>
        </w:rPr>
        <w:t xml:space="preserve"> </w:t>
      </w:r>
      <w:r w:rsidR="00E64D47">
        <w:rPr>
          <w:lang w:val="en-AU"/>
        </w:rPr>
        <w:t>nearly doubling</w:t>
      </w:r>
      <w:r w:rsidR="000807DE">
        <w:rPr>
          <w:lang w:val="en-AU"/>
        </w:rPr>
        <w:t xml:space="preserve"> </w:t>
      </w:r>
      <w:r w:rsidR="00CA5B5E">
        <w:rPr>
          <w:lang w:val="en-AU"/>
        </w:rPr>
        <w:t xml:space="preserve">the number of new files </w:t>
      </w:r>
      <w:r w:rsidR="00E75921">
        <w:rPr>
          <w:lang w:val="en-AU"/>
        </w:rPr>
        <w:t xml:space="preserve">opened in the preceding period.  </w:t>
      </w:r>
      <w:r w:rsidR="00CA5B5E">
        <w:rPr>
          <w:lang w:val="en-AU"/>
        </w:rPr>
        <w:t>It is important to observe that</w:t>
      </w:r>
      <w:r w:rsidR="00707EAD">
        <w:rPr>
          <w:lang w:val="en-AU"/>
        </w:rPr>
        <w:t>,</w:t>
      </w:r>
      <w:r w:rsidR="00CA5B5E">
        <w:rPr>
          <w:lang w:val="en-AU"/>
        </w:rPr>
        <w:t xml:space="preserve"> </w:t>
      </w:r>
      <w:r w:rsidR="00707EAD">
        <w:rPr>
          <w:lang w:val="en-AU"/>
        </w:rPr>
        <w:t xml:space="preserve">within that category, </w:t>
      </w:r>
      <w:r w:rsidR="006225A2">
        <w:rPr>
          <w:lang w:val="en-AU"/>
        </w:rPr>
        <w:t>a file may represe</w:t>
      </w:r>
      <w:r w:rsidR="00E75921">
        <w:rPr>
          <w:lang w:val="en-AU"/>
        </w:rPr>
        <w:t xml:space="preserve">nt more than a single claimant. </w:t>
      </w:r>
      <w:r w:rsidR="006225A2">
        <w:rPr>
          <w:lang w:val="en-AU"/>
        </w:rPr>
        <w:t xml:space="preserve">For instance, </w:t>
      </w:r>
      <w:r w:rsidR="00CA5B5E">
        <w:rPr>
          <w:lang w:val="en-AU"/>
        </w:rPr>
        <w:t xml:space="preserve">the class action concerning the Ashley Youth Detention Centre is recorded as a single file </w:t>
      </w:r>
      <w:r w:rsidR="00E71082">
        <w:rPr>
          <w:lang w:val="en-AU"/>
        </w:rPr>
        <w:t>and</w:t>
      </w:r>
      <w:r w:rsidR="00B0570E">
        <w:rPr>
          <w:lang w:val="en-AU"/>
        </w:rPr>
        <w:t xml:space="preserve"> does not reflect the </w:t>
      </w:r>
      <w:r w:rsidR="00CA5B5E">
        <w:rPr>
          <w:lang w:val="en-AU"/>
        </w:rPr>
        <w:t>number o</w:t>
      </w:r>
      <w:r w:rsidR="00B0570E">
        <w:rPr>
          <w:lang w:val="en-AU"/>
        </w:rPr>
        <w:t>f</w:t>
      </w:r>
      <w:r w:rsidR="00707EAD">
        <w:rPr>
          <w:lang w:val="en-AU"/>
        </w:rPr>
        <w:t xml:space="preserve"> claimants within the</w:t>
      </w:r>
      <w:r w:rsidR="00B0570E">
        <w:rPr>
          <w:lang w:val="en-AU"/>
        </w:rPr>
        <w:t xml:space="preserve"> group.</w:t>
      </w:r>
      <w:r w:rsidR="00E75921">
        <w:rPr>
          <w:lang w:val="en-AU"/>
        </w:rPr>
        <w:t xml:space="preserve"> </w:t>
      </w:r>
      <w:r w:rsidR="003D137B">
        <w:rPr>
          <w:lang w:val="en-AU"/>
        </w:rPr>
        <w:t xml:space="preserve">Of the 178 </w:t>
      </w:r>
      <w:r w:rsidR="006225A2">
        <w:rPr>
          <w:lang w:val="en-AU"/>
        </w:rPr>
        <w:t xml:space="preserve">files opened </w:t>
      </w:r>
      <w:r w:rsidR="003D137B">
        <w:rPr>
          <w:lang w:val="en-AU"/>
        </w:rPr>
        <w:t xml:space="preserve">in respect of child abuse during the last two financial years, 70 have </w:t>
      </w:r>
      <w:r w:rsidR="006225A2">
        <w:rPr>
          <w:lang w:val="en-AU"/>
        </w:rPr>
        <w:t>resolved</w:t>
      </w:r>
      <w:r w:rsidR="003D137B">
        <w:rPr>
          <w:lang w:val="en-AU"/>
        </w:rPr>
        <w:t>.</w:t>
      </w:r>
      <w:r w:rsidR="0000160B" w:rsidRPr="00C07D46">
        <w:rPr>
          <w:lang w:val="en-AU"/>
        </w:rPr>
        <w:t xml:space="preserve"> </w:t>
      </w:r>
    </w:p>
    <w:p w:rsidR="00994D25" w:rsidRDefault="006C6482" w:rsidP="0000160B">
      <w:pPr>
        <w:pStyle w:val="ParaPlain"/>
        <w:rPr>
          <w:lang w:val="en-AU"/>
        </w:rPr>
      </w:pPr>
      <w:r>
        <w:rPr>
          <w:lang w:val="en-AU"/>
        </w:rPr>
        <w:t>Representation was provided in various matters before the courts, including in a trial of an historic child abuse matter in which the State briefed counsel to appear together with</w:t>
      </w:r>
      <w:r w:rsidR="00B23922">
        <w:rPr>
          <w:lang w:val="en-AU"/>
        </w:rPr>
        <w:t xml:space="preserve"> Crown Counsel</w:t>
      </w:r>
      <w:r>
        <w:rPr>
          <w:lang w:val="en-AU"/>
        </w:rPr>
        <w:t xml:space="preserve"> on behalf of the State.</w:t>
      </w:r>
    </w:p>
    <w:p w:rsidR="0000160B" w:rsidRDefault="00E71082" w:rsidP="0000160B">
      <w:pPr>
        <w:pStyle w:val="ParaPlain"/>
        <w:rPr>
          <w:lang w:val="en-AU"/>
        </w:rPr>
      </w:pPr>
      <w:r>
        <w:rPr>
          <w:lang w:val="en-AU"/>
        </w:rPr>
        <w:t>The volume of work within the Office has overtaken the capacity of practitioners, complicated to some degree by changes in staff but most notably</w:t>
      </w:r>
      <w:r w:rsidR="00085C49">
        <w:rPr>
          <w:lang w:val="en-AU"/>
        </w:rPr>
        <w:t xml:space="preserve"> </w:t>
      </w:r>
      <w:r w:rsidR="00DD4151">
        <w:rPr>
          <w:lang w:val="en-AU"/>
        </w:rPr>
        <w:t>by the recent</w:t>
      </w:r>
      <w:r>
        <w:rPr>
          <w:lang w:val="en-AU"/>
        </w:rPr>
        <w:t xml:space="preserve"> retirement of the Assistant Solicitor-General (Litigation) in May</w:t>
      </w:r>
      <w:r w:rsidR="00994D25">
        <w:rPr>
          <w:lang w:val="en-AU"/>
        </w:rPr>
        <w:t>.</w:t>
      </w:r>
      <w:r w:rsidR="00E75921">
        <w:rPr>
          <w:lang w:val="en-AU"/>
        </w:rPr>
        <w:t xml:space="preserve"> </w:t>
      </w:r>
      <w:r>
        <w:rPr>
          <w:lang w:val="en-AU"/>
        </w:rPr>
        <w:t>The strain on existing resources has given rise to the need to brief mat</w:t>
      </w:r>
      <w:r w:rsidR="00E75921">
        <w:rPr>
          <w:lang w:val="en-AU"/>
        </w:rPr>
        <w:t xml:space="preserve">ters to the private profession. </w:t>
      </w:r>
      <w:r>
        <w:rPr>
          <w:lang w:val="en-AU"/>
        </w:rPr>
        <w:t xml:space="preserve">Apart from alleviating the pressure on practitioners, it </w:t>
      </w:r>
      <w:r w:rsidR="00DD4151">
        <w:rPr>
          <w:lang w:val="en-AU"/>
        </w:rPr>
        <w:t xml:space="preserve">has </w:t>
      </w:r>
      <w:r>
        <w:rPr>
          <w:lang w:val="en-AU"/>
        </w:rPr>
        <w:t>provide</w:t>
      </w:r>
      <w:r w:rsidR="00DD4151">
        <w:rPr>
          <w:lang w:val="en-AU"/>
        </w:rPr>
        <w:t>d</w:t>
      </w:r>
      <w:r>
        <w:rPr>
          <w:lang w:val="en-AU"/>
        </w:rPr>
        <w:t xml:space="preserve"> </w:t>
      </w:r>
      <w:r w:rsidR="00DD4151">
        <w:rPr>
          <w:lang w:val="en-AU"/>
        </w:rPr>
        <w:t>and fostered learning</w:t>
      </w:r>
      <w:r>
        <w:rPr>
          <w:lang w:val="en-AU"/>
        </w:rPr>
        <w:t xml:space="preserve"> opportunit</w:t>
      </w:r>
      <w:r w:rsidR="00DD4151">
        <w:rPr>
          <w:lang w:val="en-AU"/>
        </w:rPr>
        <w:t>ies</w:t>
      </w:r>
      <w:r>
        <w:rPr>
          <w:lang w:val="en-AU"/>
        </w:rPr>
        <w:t xml:space="preserve"> for practitioners </w:t>
      </w:r>
      <w:r w:rsidR="00DD4151">
        <w:rPr>
          <w:lang w:val="en-AU"/>
        </w:rPr>
        <w:t xml:space="preserve">of this Office </w:t>
      </w:r>
      <w:r>
        <w:rPr>
          <w:lang w:val="en-AU"/>
        </w:rPr>
        <w:t>to work with mem</w:t>
      </w:r>
      <w:r w:rsidR="00E75921">
        <w:rPr>
          <w:lang w:val="en-AU"/>
        </w:rPr>
        <w:t xml:space="preserve">bers of the private profession. </w:t>
      </w:r>
      <w:r>
        <w:rPr>
          <w:lang w:val="en-AU"/>
        </w:rPr>
        <w:t xml:space="preserve">However, the process of engaging external lawyers plainly comes at a cost to the State and </w:t>
      </w:r>
      <w:r w:rsidR="000807DE">
        <w:rPr>
          <w:lang w:val="en-AU"/>
        </w:rPr>
        <w:t xml:space="preserve">at some point </w:t>
      </w:r>
      <w:r>
        <w:rPr>
          <w:lang w:val="en-AU"/>
        </w:rPr>
        <w:t xml:space="preserve">consideration will need to be given to finding the appropriate balance between funding that cost and </w:t>
      </w:r>
      <w:r w:rsidR="005C485C">
        <w:rPr>
          <w:lang w:val="en-AU"/>
        </w:rPr>
        <w:t xml:space="preserve">the continued </w:t>
      </w:r>
      <w:r w:rsidR="00595C60">
        <w:rPr>
          <w:lang w:val="en-AU"/>
        </w:rPr>
        <w:t>strengthening</w:t>
      </w:r>
      <w:r>
        <w:rPr>
          <w:lang w:val="en-AU"/>
        </w:rPr>
        <w:t xml:space="preserve"> </w:t>
      </w:r>
      <w:r w:rsidR="005C485C">
        <w:rPr>
          <w:lang w:val="en-AU"/>
        </w:rPr>
        <w:t xml:space="preserve">of </w:t>
      </w:r>
      <w:r>
        <w:rPr>
          <w:lang w:val="en-AU"/>
        </w:rPr>
        <w:t xml:space="preserve">resources </w:t>
      </w:r>
      <w:r w:rsidR="000807DE">
        <w:rPr>
          <w:lang w:val="en-AU"/>
        </w:rPr>
        <w:t xml:space="preserve">and development of expertise </w:t>
      </w:r>
      <w:r>
        <w:rPr>
          <w:lang w:val="en-AU"/>
        </w:rPr>
        <w:t>within Crown Law.</w:t>
      </w:r>
    </w:p>
    <w:p w:rsidR="00D51357" w:rsidRDefault="002E7C31" w:rsidP="0000160B">
      <w:pPr>
        <w:pStyle w:val="ParaPlain"/>
        <w:rPr>
          <w:lang w:val="en-AU"/>
        </w:rPr>
      </w:pPr>
      <w:r>
        <w:rPr>
          <w:lang w:val="en-AU"/>
        </w:rPr>
        <w:t>A</w:t>
      </w:r>
      <w:r w:rsidR="0000160B" w:rsidRPr="00C07D46">
        <w:rPr>
          <w:lang w:val="en-AU"/>
        </w:rPr>
        <w:t xml:space="preserve">ttached </w:t>
      </w:r>
      <w:r>
        <w:rPr>
          <w:lang w:val="en-AU"/>
        </w:rPr>
        <w:t>at</w:t>
      </w:r>
      <w:r w:rsidR="0000160B" w:rsidRPr="00C07D46">
        <w:rPr>
          <w:lang w:val="en-AU"/>
        </w:rPr>
        <w:t xml:space="preserve"> </w:t>
      </w:r>
      <w:r w:rsidR="0000160B" w:rsidRPr="003C7BD6">
        <w:rPr>
          <w:lang w:val="en-AU"/>
        </w:rPr>
        <w:t>Schedule 2</w:t>
      </w:r>
      <w:r w:rsidR="0000160B" w:rsidRPr="00C07D46">
        <w:rPr>
          <w:lang w:val="en-AU"/>
        </w:rPr>
        <w:t xml:space="preserve"> </w:t>
      </w:r>
      <w:r>
        <w:rPr>
          <w:lang w:val="en-AU"/>
        </w:rPr>
        <w:t xml:space="preserve">is </w:t>
      </w:r>
      <w:r w:rsidR="0000160B" w:rsidRPr="00C07D46">
        <w:rPr>
          <w:lang w:val="en-AU"/>
        </w:rPr>
        <w:t xml:space="preserve">a list of civil </w:t>
      </w:r>
      <w:r w:rsidR="00595C60">
        <w:rPr>
          <w:lang w:val="en-AU"/>
        </w:rPr>
        <w:t xml:space="preserve">litigation </w:t>
      </w:r>
      <w:r w:rsidR="0000160B" w:rsidRPr="00C07D46">
        <w:rPr>
          <w:lang w:val="en-AU"/>
        </w:rPr>
        <w:t>files opened and clo</w:t>
      </w:r>
      <w:r w:rsidR="00E75921">
        <w:rPr>
          <w:lang w:val="en-AU"/>
        </w:rPr>
        <w:t xml:space="preserve">sed during the relevant period. </w:t>
      </w:r>
      <w:r w:rsidR="0000160B" w:rsidRPr="00C07D46">
        <w:rPr>
          <w:lang w:val="en-AU"/>
        </w:rPr>
        <w:t>The number of files opened represents a</w:t>
      </w:r>
      <w:r w:rsidR="0000160B">
        <w:rPr>
          <w:lang w:val="en-AU"/>
        </w:rPr>
        <w:t xml:space="preserve"> s</w:t>
      </w:r>
      <w:r w:rsidR="00595C60">
        <w:rPr>
          <w:lang w:val="en-AU"/>
        </w:rPr>
        <w:t xml:space="preserve">ignificant </w:t>
      </w:r>
      <w:r w:rsidR="0000160B" w:rsidRPr="00C07D46">
        <w:rPr>
          <w:lang w:val="en-AU"/>
        </w:rPr>
        <w:t>increase on the files opened during the previous period</w:t>
      </w:r>
      <w:r w:rsidR="00AC5C9A">
        <w:rPr>
          <w:lang w:val="en-AU"/>
        </w:rPr>
        <w:t>.</w:t>
      </w:r>
      <w:r w:rsidR="00595C60">
        <w:rPr>
          <w:rStyle w:val="FootnoteReference"/>
          <w:lang w:val="en-AU"/>
        </w:rPr>
        <w:footnoteReference w:id="2"/>
      </w:r>
      <w:r w:rsidR="00E75921">
        <w:rPr>
          <w:lang w:val="en-AU"/>
        </w:rPr>
        <w:t xml:space="preserve"> </w:t>
      </w:r>
      <w:r w:rsidR="0000160B">
        <w:rPr>
          <w:lang w:val="en-AU"/>
        </w:rPr>
        <w:t xml:space="preserve">However, </w:t>
      </w:r>
      <w:r w:rsidR="00DD4151">
        <w:rPr>
          <w:lang w:val="en-AU"/>
        </w:rPr>
        <w:t xml:space="preserve">as previously mentioned, </w:t>
      </w:r>
      <w:r w:rsidR="0000160B">
        <w:rPr>
          <w:lang w:val="en-AU"/>
        </w:rPr>
        <w:t>those figures do not necessarily reflect the</w:t>
      </w:r>
      <w:r w:rsidR="00902CAA">
        <w:rPr>
          <w:lang w:val="en-AU"/>
        </w:rPr>
        <w:t xml:space="preserve"> </w:t>
      </w:r>
      <w:r w:rsidR="0000160B">
        <w:rPr>
          <w:lang w:val="en-AU"/>
        </w:rPr>
        <w:t>work involved</w:t>
      </w:r>
      <w:r w:rsidR="00902CAA">
        <w:rPr>
          <w:lang w:val="en-AU"/>
        </w:rPr>
        <w:t xml:space="preserve"> on a single file</w:t>
      </w:r>
      <w:r w:rsidR="0000160B">
        <w:rPr>
          <w:lang w:val="en-AU"/>
        </w:rPr>
        <w:t xml:space="preserve">. </w:t>
      </w:r>
    </w:p>
    <w:p w:rsidR="00D51357" w:rsidRPr="00C07D46" w:rsidRDefault="00D51357" w:rsidP="00D51357">
      <w:pPr>
        <w:pStyle w:val="ParaPlain"/>
        <w:rPr>
          <w:lang w:val="en-AU"/>
        </w:rPr>
      </w:pPr>
      <w:r w:rsidRPr="00C07D46">
        <w:rPr>
          <w:lang w:val="en-AU"/>
        </w:rPr>
        <w:lastRenderedPageBreak/>
        <w:t xml:space="preserve">During the reporting period, the Supreme Court published its reasons in a number of matters in which </w:t>
      </w:r>
      <w:r>
        <w:rPr>
          <w:lang w:val="en-AU"/>
        </w:rPr>
        <w:t>representation was provided by</w:t>
      </w:r>
      <w:r w:rsidR="00CA5B5E">
        <w:rPr>
          <w:lang w:val="en-AU"/>
        </w:rPr>
        <w:t xml:space="preserve"> the Office</w:t>
      </w:r>
      <w:r>
        <w:rPr>
          <w:lang w:val="en-AU"/>
        </w:rPr>
        <w:t>, including:</w:t>
      </w:r>
    </w:p>
    <w:p w:rsidR="00CA5B5E" w:rsidRPr="00286C01" w:rsidRDefault="00CA5B5E" w:rsidP="00CA5B5E">
      <w:pPr>
        <w:pStyle w:val="ListParagraph"/>
        <w:numPr>
          <w:ilvl w:val="0"/>
          <w:numId w:val="38"/>
        </w:numPr>
        <w:rPr>
          <w:szCs w:val="24"/>
        </w:rPr>
      </w:pPr>
      <w:r w:rsidRPr="00CA5B5E">
        <w:rPr>
          <w:i/>
          <w:iCs/>
          <w:szCs w:val="24"/>
          <w:shd w:val="clear" w:color="auto" w:fill="FFFFFF"/>
        </w:rPr>
        <w:t xml:space="preserve">Recycal Pty Ltd v Director, Environment Protection Authority and Environment Protection Authority </w:t>
      </w:r>
      <w:r w:rsidRPr="00286C01">
        <w:rPr>
          <w:iCs/>
          <w:szCs w:val="24"/>
          <w:shd w:val="clear" w:color="auto" w:fill="FFFFFF"/>
        </w:rPr>
        <w:t>[2023] TASSC 19</w:t>
      </w:r>
    </w:p>
    <w:p w:rsidR="00286C01" w:rsidRPr="00286C01" w:rsidRDefault="00286C01" w:rsidP="00286C01">
      <w:pPr>
        <w:pStyle w:val="ListParagraph"/>
        <w:numPr>
          <w:ilvl w:val="0"/>
          <w:numId w:val="38"/>
        </w:numPr>
        <w:rPr>
          <w:szCs w:val="24"/>
        </w:rPr>
      </w:pPr>
      <w:r w:rsidRPr="00286C01">
        <w:rPr>
          <w:i/>
          <w:szCs w:val="24"/>
        </w:rPr>
        <w:t>Bullard v Tasmanian Industrial Commission</w:t>
      </w:r>
      <w:r w:rsidR="00BE375F">
        <w:rPr>
          <w:szCs w:val="24"/>
        </w:rPr>
        <w:t xml:space="preserve"> [2023] TASFC 3</w:t>
      </w:r>
    </w:p>
    <w:p w:rsidR="00832BB0" w:rsidRDefault="00682FAC" w:rsidP="00682FAC">
      <w:pPr>
        <w:pStyle w:val="ListParagraph"/>
        <w:numPr>
          <w:ilvl w:val="0"/>
          <w:numId w:val="38"/>
        </w:numPr>
        <w:rPr>
          <w:szCs w:val="24"/>
        </w:rPr>
      </w:pPr>
      <w:r w:rsidRPr="00286C01">
        <w:rPr>
          <w:i/>
          <w:szCs w:val="24"/>
        </w:rPr>
        <w:t>Khalafallah v Tasmanian Civil Administrative Tribunal</w:t>
      </w:r>
      <w:r w:rsidRPr="00682FAC">
        <w:rPr>
          <w:szCs w:val="24"/>
        </w:rPr>
        <w:t xml:space="preserve"> [2023] TASSC 8</w:t>
      </w:r>
    </w:p>
    <w:p w:rsidR="007806D7" w:rsidRPr="00BE375F" w:rsidRDefault="00832BB0" w:rsidP="00832BB0">
      <w:pPr>
        <w:pStyle w:val="ListParagraph"/>
        <w:numPr>
          <w:ilvl w:val="0"/>
          <w:numId w:val="38"/>
        </w:numPr>
        <w:rPr>
          <w:szCs w:val="24"/>
        </w:rPr>
      </w:pPr>
      <w:r w:rsidRPr="00832BB0">
        <w:rPr>
          <w:i/>
          <w:iCs/>
          <w:szCs w:val="24"/>
          <w:shd w:val="clear" w:color="auto" w:fill="FFFFFF"/>
        </w:rPr>
        <w:t xml:space="preserve">Tarkine National Coalition Incorporated v Director, Environment Protection Authority </w:t>
      </w:r>
      <w:r w:rsidRPr="00286C01">
        <w:rPr>
          <w:iCs/>
          <w:szCs w:val="24"/>
          <w:shd w:val="clear" w:color="auto" w:fill="FFFFFF"/>
        </w:rPr>
        <w:t>[2023] TASSC 3</w:t>
      </w:r>
    </w:p>
    <w:p w:rsidR="00BE375F" w:rsidRPr="00BE375F" w:rsidRDefault="00BE375F" w:rsidP="00BE375F">
      <w:pPr>
        <w:pStyle w:val="ListParagraph"/>
        <w:numPr>
          <w:ilvl w:val="0"/>
          <w:numId w:val="38"/>
        </w:numPr>
        <w:rPr>
          <w:i/>
          <w:iCs/>
          <w:szCs w:val="24"/>
          <w:shd w:val="clear" w:color="auto" w:fill="FFFFFF"/>
        </w:rPr>
      </w:pPr>
      <w:r w:rsidRPr="00BE375F">
        <w:rPr>
          <w:i/>
          <w:iCs/>
          <w:szCs w:val="24"/>
          <w:shd w:val="clear" w:color="auto" w:fill="FFFFFF"/>
        </w:rPr>
        <w:t xml:space="preserve">Attorney-General v Barnes </w:t>
      </w:r>
      <w:r w:rsidRPr="00BE375F">
        <w:rPr>
          <w:iCs/>
          <w:szCs w:val="24"/>
          <w:shd w:val="clear" w:color="auto" w:fill="FFFFFF"/>
        </w:rPr>
        <w:t>[2023] TASSC 2</w:t>
      </w:r>
    </w:p>
    <w:p w:rsidR="00286C01" w:rsidRPr="00286C01" w:rsidRDefault="00286C01" w:rsidP="00286C01">
      <w:pPr>
        <w:pStyle w:val="ListParagraph"/>
        <w:numPr>
          <w:ilvl w:val="0"/>
          <w:numId w:val="38"/>
        </w:numPr>
        <w:rPr>
          <w:szCs w:val="24"/>
        </w:rPr>
      </w:pPr>
      <w:r w:rsidRPr="00286C01">
        <w:rPr>
          <w:i/>
          <w:szCs w:val="24"/>
        </w:rPr>
        <w:t>Blue Derby Wild Inc v Forest Practices Authority</w:t>
      </w:r>
      <w:r w:rsidRPr="00286C01">
        <w:rPr>
          <w:szCs w:val="24"/>
        </w:rPr>
        <w:t xml:space="preserve"> [2022] TASSC 67</w:t>
      </w:r>
    </w:p>
    <w:p w:rsidR="007806D7" w:rsidRPr="00286C01" w:rsidRDefault="007806D7" w:rsidP="007806D7">
      <w:pPr>
        <w:pStyle w:val="ListParagraph"/>
        <w:numPr>
          <w:ilvl w:val="0"/>
          <w:numId w:val="38"/>
        </w:numPr>
        <w:rPr>
          <w:szCs w:val="24"/>
        </w:rPr>
      </w:pPr>
      <w:r w:rsidRPr="00286C01">
        <w:rPr>
          <w:i/>
          <w:szCs w:val="24"/>
        </w:rPr>
        <w:t>Bob Brown Foundation Inc v Barnett</w:t>
      </w:r>
      <w:r w:rsidRPr="007806D7">
        <w:rPr>
          <w:szCs w:val="24"/>
        </w:rPr>
        <w:t xml:space="preserve"> [2022] TASSC 64</w:t>
      </w:r>
    </w:p>
    <w:p w:rsidR="00A00E89" w:rsidRPr="00A51E19" w:rsidRDefault="00A00E89" w:rsidP="00A00E89">
      <w:pPr>
        <w:pStyle w:val="ListParagraph"/>
        <w:numPr>
          <w:ilvl w:val="0"/>
          <w:numId w:val="38"/>
        </w:numPr>
        <w:rPr>
          <w:szCs w:val="24"/>
        </w:rPr>
      </w:pPr>
      <w:r w:rsidRPr="00286C01">
        <w:rPr>
          <w:i/>
          <w:szCs w:val="24"/>
        </w:rPr>
        <w:t>CF v Pervan</w:t>
      </w:r>
      <w:r w:rsidRPr="00A00E89">
        <w:rPr>
          <w:szCs w:val="24"/>
        </w:rPr>
        <w:t xml:space="preserve"> [2022] TASSC 58</w:t>
      </w:r>
      <w:r w:rsidR="00BE375F">
        <w:rPr>
          <w:szCs w:val="24"/>
        </w:rPr>
        <w:t>.</w:t>
      </w:r>
    </w:p>
    <w:p w:rsidR="0000160B" w:rsidRDefault="001B75EE" w:rsidP="0000160B">
      <w:pPr>
        <w:pStyle w:val="ParaPlain"/>
        <w:rPr>
          <w:lang w:val="en-AU"/>
        </w:rPr>
      </w:pPr>
      <w:r>
        <w:rPr>
          <w:lang w:val="en-AU"/>
        </w:rPr>
        <w:t xml:space="preserve">I wish to record my thanks and appreciation </w:t>
      </w:r>
      <w:r w:rsidR="00ED2E51">
        <w:rPr>
          <w:lang w:val="en-AU"/>
        </w:rPr>
        <w:t xml:space="preserve">to all members of the team for their continuing hard work, determination and perseverance during </w:t>
      </w:r>
      <w:r w:rsidR="00226EA0">
        <w:rPr>
          <w:lang w:val="en-AU"/>
        </w:rPr>
        <w:t xml:space="preserve">the last </w:t>
      </w:r>
      <w:r w:rsidR="00ED2E51">
        <w:rPr>
          <w:lang w:val="en-AU"/>
        </w:rPr>
        <w:t>year.</w:t>
      </w:r>
    </w:p>
    <w:p w:rsidR="00837A06" w:rsidRPr="00C07D46" w:rsidRDefault="00837A06" w:rsidP="00837A06">
      <w:pPr>
        <w:pStyle w:val="Heading1"/>
      </w:pPr>
      <w:r w:rsidRPr="00C07D46">
        <w:t>Royal Commissions</w:t>
      </w:r>
    </w:p>
    <w:p w:rsidR="00B43C5C" w:rsidRPr="00C07D46" w:rsidRDefault="00B43C5C" w:rsidP="00837A06">
      <w:pPr>
        <w:pStyle w:val="ParaPlain"/>
        <w:rPr>
          <w:lang w:val="en-AU"/>
        </w:rPr>
      </w:pPr>
      <w:r w:rsidRPr="00C07D46">
        <w:rPr>
          <w:lang w:val="en-AU"/>
        </w:rPr>
        <w:t>In accordance with the Attorney-General’s direction</w:t>
      </w:r>
      <w:r w:rsidR="003A4C08">
        <w:rPr>
          <w:lang w:val="en-AU"/>
        </w:rPr>
        <w:t xml:space="preserve"> of</w:t>
      </w:r>
      <w:r w:rsidR="00E95035">
        <w:rPr>
          <w:lang w:val="en-AU"/>
        </w:rPr>
        <w:t xml:space="preserve"> </w:t>
      </w:r>
      <w:r w:rsidR="003A4C08">
        <w:rPr>
          <w:lang w:val="en-AU"/>
        </w:rPr>
        <w:t>13 January 2022</w:t>
      </w:r>
      <w:r w:rsidRPr="00C07D46">
        <w:rPr>
          <w:lang w:val="en-AU"/>
        </w:rPr>
        <w:t xml:space="preserve">, Royal Commissions and Commissions of Inquiry are civil litigation, in respect of which </w:t>
      </w:r>
      <w:r w:rsidR="00C95F68">
        <w:rPr>
          <w:lang w:val="en-AU"/>
        </w:rPr>
        <w:t>this Off</w:t>
      </w:r>
      <w:r w:rsidR="00286C01">
        <w:rPr>
          <w:lang w:val="en-AU"/>
        </w:rPr>
        <w:t>i</w:t>
      </w:r>
      <w:r w:rsidR="00C95F68">
        <w:rPr>
          <w:lang w:val="en-AU"/>
        </w:rPr>
        <w:t>ce has continued to provide assistance to Agencies and officers in responding to notices and in producing submissions</w:t>
      </w:r>
      <w:r w:rsidR="00286C01">
        <w:rPr>
          <w:lang w:val="en-AU"/>
        </w:rPr>
        <w:t>,</w:t>
      </w:r>
      <w:r w:rsidR="00C95F68">
        <w:rPr>
          <w:lang w:val="en-AU"/>
        </w:rPr>
        <w:t xml:space="preserve"> advice, support and representation</w:t>
      </w:r>
      <w:r w:rsidR="00286C01">
        <w:rPr>
          <w:lang w:val="en-AU"/>
        </w:rPr>
        <w:t>.</w:t>
      </w:r>
      <w:r w:rsidRPr="00C07D46">
        <w:rPr>
          <w:lang w:val="en-AU"/>
        </w:rPr>
        <w:t xml:space="preserve"> </w:t>
      </w:r>
    </w:p>
    <w:p w:rsidR="00837A06" w:rsidRPr="00C07D46" w:rsidRDefault="00837A06" w:rsidP="00837A06">
      <w:pPr>
        <w:pStyle w:val="ParaPlain"/>
        <w:rPr>
          <w:lang w:val="en-AU"/>
        </w:rPr>
      </w:pPr>
      <w:r w:rsidRPr="00C07D46">
        <w:rPr>
          <w:lang w:val="en-AU"/>
        </w:rPr>
        <w:t xml:space="preserve">During the reporting period, the </w:t>
      </w:r>
      <w:r w:rsidR="000807DE">
        <w:rPr>
          <w:lang w:val="en-AU"/>
        </w:rPr>
        <w:t xml:space="preserve">Office </w:t>
      </w:r>
      <w:r w:rsidR="00C95F68">
        <w:rPr>
          <w:lang w:val="en-AU"/>
        </w:rPr>
        <w:t>continued to provide advice and assistance to the State with respect to</w:t>
      </w:r>
      <w:r w:rsidR="003A4C08">
        <w:rPr>
          <w:lang w:val="en-AU"/>
        </w:rPr>
        <w:t>:</w:t>
      </w:r>
      <w:r w:rsidRPr="00C07D46">
        <w:rPr>
          <w:lang w:val="en-AU"/>
        </w:rPr>
        <w:t xml:space="preserve"> </w:t>
      </w:r>
    </w:p>
    <w:p w:rsidR="00286C01" w:rsidRDefault="00837A06" w:rsidP="00286C01">
      <w:pPr>
        <w:pStyle w:val="ParaPlain"/>
        <w:numPr>
          <w:ilvl w:val="0"/>
          <w:numId w:val="49"/>
        </w:numPr>
        <w:spacing w:before="120" w:after="120"/>
        <w:rPr>
          <w:lang w:val="en-AU"/>
        </w:rPr>
      </w:pPr>
      <w:r w:rsidRPr="00C07D46">
        <w:rPr>
          <w:lang w:val="en-AU"/>
        </w:rPr>
        <w:t>the Royal Commission into Violence, Abuse, Neglect and Exploitation of People with Disability;</w:t>
      </w:r>
      <w:r w:rsidRPr="00C07D46">
        <w:rPr>
          <w:rStyle w:val="FootnoteReference"/>
          <w:lang w:val="en-AU"/>
        </w:rPr>
        <w:footnoteReference w:id="3"/>
      </w:r>
    </w:p>
    <w:p w:rsidR="00286C01" w:rsidRDefault="00837A06" w:rsidP="00286C01">
      <w:pPr>
        <w:pStyle w:val="ParaPlain"/>
        <w:numPr>
          <w:ilvl w:val="0"/>
          <w:numId w:val="49"/>
        </w:numPr>
        <w:spacing w:before="120" w:after="120"/>
        <w:rPr>
          <w:lang w:val="en-AU"/>
        </w:rPr>
      </w:pPr>
      <w:r w:rsidRPr="00C07D46">
        <w:rPr>
          <w:lang w:val="en-AU"/>
        </w:rPr>
        <w:t>the Royal Commission into</w:t>
      </w:r>
      <w:r w:rsidR="000968AF" w:rsidRPr="000968AF">
        <w:rPr>
          <w:lang w:val="en-AU"/>
        </w:rPr>
        <w:t xml:space="preserve"> Defence and Veteran Suicide</w:t>
      </w:r>
      <w:r w:rsidR="00286C01">
        <w:rPr>
          <w:lang w:val="en-AU"/>
        </w:rPr>
        <w:t>;</w:t>
      </w:r>
      <w:r w:rsidR="003A4C08">
        <w:rPr>
          <w:rStyle w:val="FootnoteReference"/>
          <w:lang w:val="en-AU"/>
        </w:rPr>
        <w:footnoteReference w:id="4"/>
      </w:r>
      <w:r w:rsidR="000807DE">
        <w:rPr>
          <w:lang w:val="en-AU"/>
        </w:rPr>
        <w:t xml:space="preserve"> and </w:t>
      </w:r>
    </w:p>
    <w:p w:rsidR="00286C01" w:rsidRDefault="000807DE" w:rsidP="00286C01">
      <w:pPr>
        <w:pStyle w:val="ParaPlain"/>
        <w:numPr>
          <w:ilvl w:val="0"/>
          <w:numId w:val="49"/>
        </w:numPr>
        <w:spacing w:before="120" w:after="120"/>
        <w:rPr>
          <w:lang w:val="en-AU"/>
        </w:rPr>
      </w:pPr>
      <w:r>
        <w:rPr>
          <w:lang w:val="en-AU"/>
        </w:rPr>
        <w:t>the</w:t>
      </w:r>
      <w:r w:rsidR="006E27DA">
        <w:rPr>
          <w:lang w:val="en-AU"/>
        </w:rPr>
        <w:t xml:space="preserve"> Commission of Inquiry into the Tasmanian Government’s Responses to Child Sexual Abuse in Institutional Settings.</w:t>
      </w:r>
    </w:p>
    <w:p w:rsidR="00286C01" w:rsidRDefault="00286C01" w:rsidP="00286C01">
      <w:pPr>
        <w:pStyle w:val="ParaPlain"/>
        <w:spacing w:before="120" w:after="120"/>
        <w:rPr>
          <w:lang w:val="en-AU"/>
        </w:rPr>
      </w:pPr>
    </w:p>
    <w:p w:rsidR="00041B70" w:rsidRPr="00C07D46" w:rsidRDefault="006E27DA" w:rsidP="008C09C5">
      <w:pPr>
        <w:pStyle w:val="ParaPlain"/>
        <w:spacing w:before="120" w:after="120"/>
        <w:rPr>
          <w:lang w:val="en-AU"/>
        </w:rPr>
      </w:pPr>
      <w:r>
        <w:rPr>
          <w:lang w:val="en-AU"/>
        </w:rPr>
        <w:t xml:space="preserve">With regard to the latter, the </w:t>
      </w:r>
      <w:r w:rsidRPr="006E27DA">
        <w:rPr>
          <w:lang w:val="en-AU"/>
        </w:rPr>
        <w:t>Commission of Inquiry Response Unit was assigned to the Office to act as the State</w:t>
      </w:r>
      <w:r w:rsidR="00E75921">
        <w:rPr>
          <w:lang w:val="en-AU"/>
        </w:rPr>
        <w:t xml:space="preserve">’s solicitor in the Commission. </w:t>
      </w:r>
      <w:r w:rsidRPr="006E27DA">
        <w:rPr>
          <w:lang w:val="en-AU"/>
        </w:rPr>
        <w:t xml:space="preserve">A number of Counsel were also instructed through that Unit to represent the State and </w:t>
      </w:r>
      <w:r w:rsidR="00E75921">
        <w:rPr>
          <w:lang w:val="en-AU"/>
        </w:rPr>
        <w:t xml:space="preserve">its officers in the Commission. </w:t>
      </w:r>
      <w:r w:rsidRPr="006E27DA">
        <w:rPr>
          <w:lang w:val="en-AU"/>
        </w:rPr>
        <w:t xml:space="preserve">I </w:t>
      </w:r>
      <w:r>
        <w:rPr>
          <w:lang w:val="en-AU"/>
        </w:rPr>
        <w:t>wish to acknowledge the tireless efforts of those involved in undertaking th</w:t>
      </w:r>
      <w:r w:rsidR="00286C01">
        <w:rPr>
          <w:lang w:val="en-AU"/>
        </w:rPr>
        <w:t>is</w:t>
      </w:r>
      <w:r>
        <w:rPr>
          <w:lang w:val="en-AU"/>
        </w:rPr>
        <w:t xml:space="preserve"> important work</w:t>
      </w:r>
      <w:r w:rsidRPr="006E27DA">
        <w:rPr>
          <w:lang w:val="en-AU"/>
        </w:rPr>
        <w:t>.</w:t>
      </w:r>
    </w:p>
    <w:p w:rsidR="00473905" w:rsidRPr="00C07D46" w:rsidRDefault="00473905" w:rsidP="0012222A">
      <w:pPr>
        <w:pStyle w:val="Heading1"/>
      </w:pPr>
      <w:r w:rsidRPr="00C07D46">
        <w:lastRenderedPageBreak/>
        <w:t>Special Committee of Solicitors-General</w:t>
      </w:r>
    </w:p>
    <w:p w:rsidR="00473905" w:rsidRPr="00C07D46" w:rsidRDefault="00473905" w:rsidP="0012222A">
      <w:pPr>
        <w:pStyle w:val="ParaPlain"/>
        <w:rPr>
          <w:lang w:val="en-AU"/>
        </w:rPr>
      </w:pPr>
      <w:r w:rsidRPr="00C07D46">
        <w:rPr>
          <w:lang w:val="en-AU"/>
        </w:rPr>
        <w:t>The Special Committee of Solicitors-General (SCSG) which is comprised of the Solicitors-General of the Commonwealth and of every State and Territory (and</w:t>
      </w:r>
      <w:r w:rsidR="002842C5" w:rsidRPr="00C07D46">
        <w:rPr>
          <w:lang w:val="en-AU"/>
        </w:rPr>
        <w:t>,</w:t>
      </w:r>
      <w:r w:rsidRPr="00C07D46">
        <w:rPr>
          <w:lang w:val="en-AU"/>
        </w:rPr>
        <w:t xml:space="preserve"> by invitation, the Solicitor-General of New Zealand)</w:t>
      </w:r>
      <w:r w:rsidR="00C903E7">
        <w:rPr>
          <w:lang w:val="en-AU"/>
        </w:rPr>
        <w:t xml:space="preserve"> </w:t>
      </w:r>
      <w:r w:rsidR="00C95F68">
        <w:rPr>
          <w:lang w:val="en-AU"/>
        </w:rPr>
        <w:t xml:space="preserve">met </w:t>
      </w:r>
      <w:r w:rsidR="00286C01">
        <w:rPr>
          <w:lang w:val="en-AU"/>
        </w:rPr>
        <w:t xml:space="preserve">on </w:t>
      </w:r>
      <w:r w:rsidR="00ED2E51">
        <w:rPr>
          <w:lang w:val="en-AU"/>
        </w:rPr>
        <w:t xml:space="preserve">three </w:t>
      </w:r>
      <w:r w:rsidR="00286C01">
        <w:rPr>
          <w:lang w:val="en-AU"/>
        </w:rPr>
        <w:t xml:space="preserve">occasions </w:t>
      </w:r>
      <w:r w:rsidR="00C95F68">
        <w:rPr>
          <w:lang w:val="en-AU"/>
        </w:rPr>
        <w:t>during the reporting period</w:t>
      </w:r>
      <w:r w:rsidR="00590A84">
        <w:rPr>
          <w:lang w:val="en-AU"/>
        </w:rPr>
        <w:t>.</w:t>
      </w:r>
    </w:p>
    <w:p w:rsidR="00473905" w:rsidRPr="00C07D46" w:rsidRDefault="00473905" w:rsidP="0012222A">
      <w:pPr>
        <w:pStyle w:val="ParaPlain"/>
        <w:rPr>
          <w:lang w:val="en-AU"/>
        </w:rPr>
      </w:pPr>
      <w:r w:rsidRPr="00C07D46">
        <w:rPr>
          <w:lang w:val="en-AU"/>
        </w:rPr>
        <w:t xml:space="preserve">The SCSG </w:t>
      </w:r>
      <w:r w:rsidR="00065F50">
        <w:rPr>
          <w:lang w:val="en-AU"/>
        </w:rPr>
        <w:t>is of significant value in enabling discuss</w:t>
      </w:r>
      <w:r w:rsidR="00286C01">
        <w:rPr>
          <w:lang w:val="en-AU"/>
        </w:rPr>
        <w:t>ion of</w:t>
      </w:r>
      <w:r w:rsidR="00065F50">
        <w:rPr>
          <w:lang w:val="en-AU"/>
        </w:rPr>
        <w:t xml:space="preserve"> important legal develo</w:t>
      </w:r>
      <w:r w:rsidR="00286C01">
        <w:rPr>
          <w:lang w:val="en-AU"/>
        </w:rPr>
        <w:t xml:space="preserve">pments, particularly those </w:t>
      </w:r>
      <w:r w:rsidRPr="00C07D46">
        <w:rPr>
          <w:lang w:val="en-AU"/>
        </w:rPr>
        <w:t xml:space="preserve">involving the Commonwealth </w:t>
      </w:r>
      <w:r w:rsidRPr="0058218C">
        <w:rPr>
          <w:lang w:val="en-AU"/>
        </w:rPr>
        <w:t xml:space="preserve">Constitution </w:t>
      </w:r>
      <w:r w:rsidRPr="00C07D46">
        <w:rPr>
          <w:lang w:val="en-AU"/>
        </w:rPr>
        <w:t xml:space="preserve">or its interpretation </w:t>
      </w:r>
      <w:r w:rsidR="00286C01">
        <w:rPr>
          <w:lang w:val="en-AU"/>
        </w:rPr>
        <w:t xml:space="preserve">and cases </w:t>
      </w:r>
      <w:r w:rsidRPr="00C07D46">
        <w:rPr>
          <w:lang w:val="en-AU"/>
        </w:rPr>
        <w:t xml:space="preserve">pending </w:t>
      </w:r>
      <w:r w:rsidR="00286C01">
        <w:rPr>
          <w:lang w:val="en-AU"/>
        </w:rPr>
        <w:t>or</w:t>
      </w:r>
      <w:r w:rsidRPr="00C07D46">
        <w:rPr>
          <w:lang w:val="en-AU"/>
        </w:rPr>
        <w:t xml:space="preserve"> reserved in which a constitutional issue has arisen or is thought likely to arise.</w:t>
      </w:r>
    </w:p>
    <w:p w:rsidR="00473905" w:rsidRPr="00C07D46" w:rsidRDefault="00473905" w:rsidP="0012222A">
      <w:pPr>
        <w:pStyle w:val="Heading1"/>
      </w:pPr>
      <w:r w:rsidRPr="00C07D46">
        <w:t>The Whole of Government CLE program</w:t>
      </w:r>
    </w:p>
    <w:p w:rsidR="00E96773" w:rsidRPr="00C07D46" w:rsidRDefault="0007430B" w:rsidP="0012222A">
      <w:pPr>
        <w:pStyle w:val="ParaPlain"/>
        <w:rPr>
          <w:lang w:val="en-AU"/>
        </w:rPr>
      </w:pPr>
      <w:r>
        <w:rPr>
          <w:lang w:val="en-AU"/>
        </w:rPr>
        <w:t>The program for the delivery of legal education s</w:t>
      </w:r>
      <w:r w:rsidR="00473905" w:rsidRPr="00C07D46">
        <w:rPr>
          <w:lang w:val="en-AU"/>
        </w:rPr>
        <w:t xml:space="preserve">eminars </w:t>
      </w:r>
      <w:r>
        <w:rPr>
          <w:lang w:val="en-AU"/>
        </w:rPr>
        <w:t xml:space="preserve">to government </w:t>
      </w:r>
      <w:r w:rsidR="00DE3596">
        <w:rPr>
          <w:lang w:val="en-AU"/>
        </w:rPr>
        <w:t>Agencies</w:t>
      </w:r>
      <w:r>
        <w:rPr>
          <w:lang w:val="en-AU"/>
        </w:rPr>
        <w:t xml:space="preserve"> continued </w:t>
      </w:r>
      <w:r w:rsidR="00473905" w:rsidRPr="00C07D46">
        <w:rPr>
          <w:lang w:val="en-AU"/>
        </w:rPr>
        <w:t>during the reporting period</w:t>
      </w:r>
      <w:r>
        <w:rPr>
          <w:lang w:val="en-AU"/>
        </w:rPr>
        <w:t xml:space="preserve">. </w:t>
      </w:r>
    </w:p>
    <w:p w:rsidR="00590A84" w:rsidRDefault="00BF207F" w:rsidP="0012222A">
      <w:pPr>
        <w:pStyle w:val="ParaPlain"/>
        <w:rPr>
          <w:lang w:val="en-AU"/>
        </w:rPr>
      </w:pPr>
      <w:r>
        <w:rPr>
          <w:lang w:val="en-AU"/>
        </w:rPr>
        <w:t xml:space="preserve">The </w:t>
      </w:r>
      <w:r w:rsidR="00B33DF2" w:rsidRPr="00C07D46">
        <w:rPr>
          <w:lang w:val="en-AU"/>
        </w:rPr>
        <w:t xml:space="preserve">program </w:t>
      </w:r>
      <w:r w:rsidR="001443E2">
        <w:rPr>
          <w:lang w:val="en-AU"/>
        </w:rPr>
        <w:t xml:space="preserve">continues to </w:t>
      </w:r>
      <w:r w:rsidR="00B45D73">
        <w:rPr>
          <w:lang w:val="en-AU"/>
        </w:rPr>
        <w:t xml:space="preserve">be </w:t>
      </w:r>
      <w:r w:rsidR="0007430B">
        <w:rPr>
          <w:lang w:val="en-AU"/>
        </w:rPr>
        <w:t xml:space="preserve">guided by </w:t>
      </w:r>
      <w:r w:rsidR="00473905" w:rsidRPr="00C07D46">
        <w:rPr>
          <w:lang w:val="en-AU"/>
        </w:rPr>
        <w:t>a Steering Committee</w:t>
      </w:r>
      <w:r w:rsidR="00FC2FB6">
        <w:rPr>
          <w:lang w:val="en-AU"/>
        </w:rPr>
        <w:t xml:space="preserve"> comprising representat</w:t>
      </w:r>
      <w:r w:rsidR="00AC5C9A">
        <w:rPr>
          <w:lang w:val="en-AU"/>
        </w:rPr>
        <w:t>ives from within Crown Law and A</w:t>
      </w:r>
      <w:r w:rsidR="00FC2FB6">
        <w:rPr>
          <w:lang w:val="en-AU"/>
        </w:rPr>
        <w:t>gency representatives</w:t>
      </w:r>
      <w:r w:rsidR="001443E2">
        <w:rPr>
          <w:lang w:val="en-AU"/>
        </w:rPr>
        <w:t>.</w:t>
      </w:r>
      <w:r w:rsidR="00E75921">
        <w:rPr>
          <w:lang w:val="en-AU"/>
        </w:rPr>
        <w:t xml:space="preserve">  </w:t>
      </w:r>
      <w:r w:rsidR="00590A84">
        <w:rPr>
          <w:lang w:val="en-AU"/>
        </w:rPr>
        <w:t>Sessions were delivered on the following topics</w:t>
      </w:r>
      <w:r w:rsidR="004D701B">
        <w:rPr>
          <w:lang w:val="en-AU"/>
        </w:rPr>
        <w:t xml:space="preserve"> by various presen</w:t>
      </w:r>
      <w:r w:rsidR="00AC5C9A">
        <w:rPr>
          <w:lang w:val="en-AU"/>
        </w:rPr>
        <w:t>ters from within Crown Law and various Agencies</w:t>
      </w:r>
      <w:r w:rsidR="00590A84">
        <w:rPr>
          <w:lang w:val="en-AU"/>
        </w:rPr>
        <w:t xml:space="preserve">: </w:t>
      </w:r>
    </w:p>
    <w:p w:rsidR="00590A84" w:rsidRPr="00590A84" w:rsidRDefault="00590A84" w:rsidP="00421070">
      <w:pPr>
        <w:pStyle w:val="ParaPlain"/>
        <w:numPr>
          <w:ilvl w:val="0"/>
          <w:numId w:val="48"/>
        </w:numPr>
        <w:spacing w:before="0" w:after="0"/>
        <w:ind w:left="714" w:hanging="357"/>
        <w:rPr>
          <w:lang w:val="en-AU"/>
        </w:rPr>
      </w:pPr>
      <w:r w:rsidRPr="00590A84">
        <w:rPr>
          <w:lang w:val="en-AU"/>
        </w:rPr>
        <w:t>Operation of the Guardianship &amp; Administration Act</w:t>
      </w:r>
      <w:r w:rsidR="0058218C">
        <w:rPr>
          <w:lang w:val="en-AU"/>
        </w:rPr>
        <w:t xml:space="preserve"> for Medical Practitioners</w:t>
      </w:r>
    </w:p>
    <w:p w:rsidR="00590A84" w:rsidRPr="00590A84" w:rsidRDefault="00590A84" w:rsidP="00421070">
      <w:pPr>
        <w:pStyle w:val="ParaPlain"/>
        <w:numPr>
          <w:ilvl w:val="0"/>
          <w:numId w:val="48"/>
        </w:numPr>
        <w:spacing w:before="0" w:after="0"/>
        <w:ind w:left="714" w:hanging="357"/>
        <w:rPr>
          <w:lang w:val="en-AU"/>
        </w:rPr>
      </w:pPr>
      <w:r w:rsidRPr="00590A84">
        <w:rPr>
          <w:lang w:val="en-AU"/>
        </w:rPr>
        <w:t>Right to Information</w:t>
      </w:r>
    </w:p>
    <w:p w:rsidR="00590A84" w:rsidRPr="00590A84" w:rsidRDefault="00590A84" w:rsidP="00421070">
      <w:pPr>
        <w:pStyle w:val="ParaPlain"/>
        <w:numPr>
          <w:ilvl w:val="0"/>
          <w:numId w:val="48"/>
        </w:numPr>
        <w:spacing w:before="0" w:after="0"/>
        <w:ind w:left="714" w:hanging="357"/>
        <w:rPr>
          <w:lang w:val="en-AU"/>
        </w:rPr>
      </w:pPr>
      <w:r w:rsidRPr="00590A84">
        <w:rPr>
          <w:lang w:val="en-AU"/>
        </w:rPr>
        <w:t>W</w:t>
      </w:r>
      <w:r w:rsidR="0058218C">
        <w:rPr>
          <w:lang w:val="en-AU"/>
        </w:rPr>
        <w:t>ork Health and Safety for Officers</w:t>
      </w:r>
    </w:p>
    <w:p w:rsidR="00590A84" w:rsidRPr="00590A84" w:rsidRDefault="00590A84" w:rsidP="00421070">
      <w:pPr>
        <w:pStyle w:val="ParaPlain"/>
        <w:numPr>
          <w:ilvl w:val="0"/>
          <w:numId w:val="48"/>
        </w:numPr>
        <w:spacing w:before="0" w:after="0"/>
        <w:ind w:left="714" w:hanging="357"/>
        <w:rPr>
          <w:lang w:val="en-AU"/>
        </w:rPr>
      </w:pPr>
      <w:r w:rsidRPr="00590A84">
        <w:rPr>
          <w:lang w:val="en-AU"/>
        </w:rPr>
        <w:t>Personal Information &amp; Data Protection</w:t>
      </w:r>
    </w:p>
    <w:p w:rsidR="00590A84" w:rsidRDefault="00590A84" w:rsidP="00421070">
      <w:pPr>
        <w:pStyle w:val="ParaPlain"/>
        <w:numPr>
          <w:ilvl w:val="0"/>
          <w:numId w:val="48"/>
        </w:numPr>
        <w:spacing w:before="0" w:after="0"/>
        <w:ind w:left="714" w:hanging="357"/>
        <w:rPr>
          <w:lang w:val="en-AU"/>
        </w:rPr>
      </w:pPr>
      <w:r w:rsidRPr="00590A84">
        <w:rPr>
          <w:lang w:val="en-AU"/>
        </w:rPr>
        <w:t xml:space="preserve">Recordings without </w:t>
      </w:r>
      <w:r w:rsidR="0058218C">
        <w:rPr>
          <w:lang w:val="en-AU"/>
        </w:rPr>
        <w:t>C</w:t>
      </w:r>
      <w:r w:rsidRPr="00590A84">
        <w:rPr>
          <w:lang w:val="en-AU"/>
        </w:rPr>
        <w:t>onsent</w:t>
      </w:r>
    </w:p>
    <w:p w:rsidR="00590A84" w:rsidRPr="00590A84" w:rsidRDefault="00590A84" w:rsidP="00421070">
      <w:pPr>
        <w:pStyle w:val="ParaPlain"/>
        <w:numPr>
          <w:ilvl w:val="0"/>
          <w:numId w:val="48"/>
        </w:numPr>
        <w:spacing w:before="0" w:after="0"/>
        <w:ind w:left="714" w:hanging="357"/>
        <w:rPr>
          <w:lang w:val="en-AU"/>
        </w:rPr>
      </w:pPr>
      <w:r w:rsidRPr="00590A84">
        <w:rPr>
          <w:lang w:val="en-AU"/>
        </w:rPr>
        <w:t>Financial Management Act 2016</w:t>
      </w:r>
    </w:p>
    <w:p w:rsidR="00590A84" w:rsidRPr="00590A84" w:rsidRDefault="00590A84" w:rsidP="00421070">
      <w:pPr>
        <w:pStyle w:val="ParaPlain"/>
        <w:numPr>
          <w:ilvl w:val="0"/>
          <w:numId w:val="48"/>
        </w:numPr>
        <w:spacing w:before="0" w:after="0"/>
        <w:ind w:left="714" w:hanging="357"/>
        <w:rPr>
          <w:lang w:val="en-AU"/>
        </w:rPr>
      </w:pPr>
      <w:r w:rsidRPr="00590A84">
        <w:rPr>
          <w:lang w:val="en-AU"/>
        </w:rPr>
        <w:t>Delegations of Statutory Functions and Powers</w:t>
      </w:r>
    </w:p>
    <w:p w:rsidR="0058218C" w:rsidRDefault="0058218C" w:rsidP="00421070">
      <w:pPr>
        <w:pStyle w:val="ParaPlain"/>
        <w:numPr>
          <w:ilvl w:val="0"/>
          <w:numId w:val="48"/>
        </w:numPr>
        <w:spacing w:before="0" w:after="0"/>
        <w:ind w:left="714" w:hanging="357"/>
        <w:rPr>
          <w:lang w:val="en-AU"/>
        </w:rPr>
      </w:pPr>
      <w:r>
        <w:rPr>
          <w:lang w:val="en-AU"/>
        </w:rPr>
        <w:t>Memorandums</w:t>
      </w:r>
      <w:r w:rsidR="00DB486A">
        <w:rPr>
          <w:lang w:val="en-AU"/>
        </w:rPr>
        <w:t xml:space="preserve"> of Understanding, Heads of Agreement and Intergovernmental Agreements</w:t>
      </w:r>
    </w:p>
    <w:p w:rsidR="00590A84" w:rsidRPr="00590A84" w:rsidRDefault="00590A84" w:rsidP="00421070">
      <w:pPr>
        <w:pStyle w:val="ParaPlain"/>
        <w:numPr>
          <w:ilvl w:val="0"/>
          <w:numId w:val="48"/>
        </w:numPr>
        <w:spacing w:before="0" w:after="0"/>
        <w:ind w:left="714" w:hanging="357"/>
        <w:rPr>
          <w:lang w:val="en-AU"/>
        </w:rPr>
      </w:pPr>
      <w:r w:rsidRPr="00590A84">
        <w:rPr>
          <w:lang w:val="en-AU"/>
        </w:rPr>
        <w:t xml:space="preserve">Working with </w:t>
      </w:r>
      <w:r w:rsidR="00185A11">
        <w:rPr>
          <w:lang w:val="en-AU"/>
        </w:rPr>
        <w:t xml:space="preserve">the </w:t>
      </w:r>
      <w:r w:rsidRPr="00590A84">
        <w:rPr>
          <w:lang w:val="en-AU"/>
        </w:rPr>
        <w:t>DPP</w:t>
      </w:r>
    </w:p>
    <w:p w:rsidR="00590A84" w:rsidRDefault="00590A84" w:rsidP="00421070">
      <w:pPr>
        <w:pStyle w:val="ParaPlain"/>
        <w:numPr>
          <w:ilvl w:val="0"/>
          <w:numId w:val="48"/>
        </w:numPr>
        <w:spacing w:before="0" w:after="0"/>
        <w:ind w:left="714" w:hanging="357"/>
        <w:rPr>
          <w:lang w:val="en-AU"/>
        </w:rPr>
      </w:pPr>
      <w:r w:rsidRPr="00590A84">
        <w:rPr>
          <w:lang w:val="en-AU"/>
        </w:rPr>
        <w:t>Authority to Contract</w:t>
      </w:r>
      <w:r w:rsidR="00AC5C9A">
        <w:rPr>
          <w:lang w:val="en-AU"/>
        </w:rPr>
        <w:t>.</w:t>
      </w:r>
    </w:p>
    <w:p w:rsidR="0050212D" w:rsidRDefault="0050212D" w:rsidP="0050212D">
      <w:pPr>
        <w:pStyle w:val="Heading1"/>
      </w:pPr>
      <w:r>
        <w:t>Professional Development</w:t>
      </w:r>
    </w:p>
    <w:p w:rsidR="00044DD8" w:rsidRDefault="00102EC9" w:rsidP="00044DD8">
      <w:pPr>
        <w:pStyle w:val="ParaPlain"/>
      </w:pPr>
      <w:r>
        <w:t>P</w:t>
      </w:r>
      <w:r w:rsidR="0050212D">
        <w:t xml:space="preserve">ractitioners within </w:t>
      </w:r>
      <w:r w:rsidR="00D37538">
        <w:t>the Office</w:t>
      </w:r>
      <w:r w:rsidR="0050212D">
        <w:t xml:space="preserve"> attended </w:t>
      </w:r>
      <w:r w:rsidR="005A5843">
        <w:t xml:space="preserve">a number of </w:t>
      </w:r>
      <w:r>
        <w:t xml:space="preserve">legal education sessions including </w:t>
      </w:r>
      <w:r w:rsidR="0050212D">
        <w:t xml:space="preserve">the </w:t>
      </w:r>
      <w:r w:rsidR="00044DD8">
        <w:t xml:space="preserve">online </w:t>
      </w:r>
      <w:r w:rsidR="0050212D">
        <w:t>Gilbert and Tobin Constitutional Law Conference</w:t>
      </w:r>
      <w:r w:rsidR="008C09C5">
        <w:t>, s</w:t>
      </w:r>
      <w:r w:rsidR="005A5843">
        <w:t>essions run by Legalwise in Abuse Law, Parliamentary Law, Administrative Decision Making and P</w:t>
      </w:r>
      <w:r w:rsidR="00F24FD0">
        <w:t>s</w:t>
      </w:r>
      <w:r w:rsidR="0058218C">
        <w:t>ychosocial H</w:t>
      </w:r>
      <w:r w:rsidR="005A5843">
        <w:t xml:space="preserve">azards </w:t>
      </w:r>
      <w:r w:rsidR="0058218C">
        <w:t xml:space="preserve">in the Workplace </w:t>
      </w:r>
      <w:r w:rsidR="005A5843">
        <w:t>and an</w:t>
      </w:r>
      <w:r w:rsidR="009F591D">
        <w:t xml:space="preserve"> in-house</w:t>
      </w:r>
      <w:r w:rsidR="005A5843">
        <w:t xml:space="preserve"> </w:t>
      </w:r>
      <w:r w:rsidR="009F591D">
        <w:t>legal education session.</w:t>
      </w:r>
      <w:r w:rsidR="00E75921">
        <w:t xml:space="preserve"> </w:t>
      </w:r>
      <w:r w:rsidR="00BE375F">
        <w:t>T</w:t>
      </w:r>
      <w:r w:rsidR="005E20B1">
        <w:t xml:space="preserve">he process of building a trauma informed practice amongst all levels of staff has been an ongoing focus of training </w:t>
      </w:r>
      <w:r w:rsidR="005C485C">
        <w:t>throughout</w:t>
      </w:r>
      <w:r w:rsidR="005E20B1">
        <w:t xml:space="preserve"> this reporting period. </w:t>
      </w:r>
    </w:p>
    <w:p w:rsidR="00421070" w:rsidRDefault="00421070" w:rsidP="0012222A">
      <w:pPr>
        <w:pStyle w:val="ParaPlain"/>
        <w:rPr>
          <w:lang w:val="en-AU"/>
        </w:rPr>
      </w:pPr>
    </w:p>
    <w:p w:rsidR="00473905" w:rsidRPr="00C07D46" w:rsidRDefault="00473905" w:rsidP="0012222A">
      <w:pPr>
        <w:pStyle w:val="ParaPlain"/>
        <w:rPr>
          <w:lang w:val="en-AU"/>
        </w:rPr>
      </w:pPr>
      <w:r w:rsidRPr="00C07D46">
        <w:rPr>
          <w:lang w:val="en-AU"/>
        </w:rPr>
        <w:t>Dated:</w:t>
      </w:r>
      <w:r w:rsidR="008C09C5">
        <w:rPr>
          <w:lang w:val="en-AU"/>
        </w:rPr>
        <w:t xml:space="preserve"> 28 </w:t>
      </w:r>
      <w:r w:rsidR="007F5242" w:rsidRPr="008C09C5">
        <w:rPr>
          <w:lang w:val="en-AU"/>
        </w:rPr>
        <w:t xml:space="preserve">September </w:t>
      </w:r>
      <w:r w:rsidR="009253E8" w:rsidRPr="008C09C5">
        <w:rPr>
          <w:lang w:val="en-AU"/>
        </w:rPr>
        <w:t>202</w:t>
      </w:r>
      <w:r w:rsidR="00FE0E0E" w:rsidRPr="008C09C5">
        <w:rPr>
          <w:lang w:val="en-AU"/>
        </w:rPr>
        <w:t>3</w:t>
      </w:r>
    </w:p>
    <w:p w:rsidR="000C6665" w:rsidRDefault="000C6665" w:rsidP="0012222A">
      <w:pPr>
        <w:pStyle w:val="ParaPlain"/>
        <w:spacing w:before="0" w:after="0"/>
        <w:rPr>
          <w:i/>
          <w:noProof/>
          <w:szCs w:val="24"/>
          <w:lang w:val="en-AU" w:eastAsia="en-AU"/>
        </w:rPr>
      </w:pPr>
    </w:p>
    <w:p w:rsidR="000C6665" w:rsidRDefault="000C6665" w:rsidP="0012222A">
      <w:pPr>
        <w:pStyle w:val="ParaPlain"/>
        <w:spacing w:before="0" w:after="0"/>
        <w:rPr>
          <w:i/>
          <w:noProof/>
          <w:szCs w:val="24"/>
          <w:lang w:val="en-AU" w:eastAsia="en-AU"/>
        </w:rPr>
      </w:pPr>
    </w:p>
    <w:p w:rsidR="00473905" w:rsidRPr="00C07D46" w:rsidRDefault="009253E8" w:rsidP="0012222A">
      <w:pPr>
        <w:pStyle w:val="ParaPlain"/>
        <w:spacing w:before="0" w:after="0"/>
        <w:rPr>
          <w:b/>
          <w:bCs/>
          <w:lang w:val="en-AU"/>
        </w:rPr>
      </w:pPr>
      <w:bookmarkStart w:id="0" w:name="_GoBack"/>
      <w:bookmarkEnd w:id="0"/>
      <w:r>
        <w:rPr>
          <w:b/>
          <w:bCs/>
          <w:lang w:val="en-AU"/>
        </w:rPr>
        <w:t>Sarah Kay</w:t>
      </w:r>
      <w:r w:rsidR="00473905" w:rsidRPr="00C07D46">
        <w:rPr>
          <w:b/>
          <w:bCs/>
          <w:lang w:val="en-AU"/>
        </w:rPr>
        <w:t xml:space="preserve"> SC</w:t>
      </w:r>
    </w:p>
    <w:p w:rsidR="00473905" w:rsidRPr="00C07D46" w:rsidRDefault="00473905" w:rsidP="0012222A">
      <w:pPr>
        <w:pStyle w:val="ParaPlain"/>
        <w:spacing w:before="0" w:after="0"/>
        <w:rPr>
          <w:u w:val="single"/>
          <w:lang w:val="en-AU"/>
        </w:rPr>
      </w:pPr>
      <w:r w:rsidRPr="00C07D46">
        <w:rPr>
          <w:u w:val="single"/>
          <w:lang w:val="en-AU"/>
        </w:rPr>
        <w:t>Solicitor-General of Tasmania</w:t>
      </w:r>
    </w:p>
    <w:p w:rsidR="002600D4" w:rsidRPr="00C07D46" w:rsidRDefault="003F2B76" w:rsidP="002600D4">
      <w:pPr>
        <w:tabs>
          <w:tab w:val="left" w:pos="720"/>
          <w:tab w:val="center" w:pos="4153"/>
          <w:tab w:val="right" w:pos="8306"/>
        </w:tabs>
        <w:jc w:val="center"/>
        <w:rPr>
          <w:b/>
          <w:szCs w:val="24"/>
        </w:rPr>
      </w:pPr>
      <w:r w:rsidRPr="00C07D46">
        <w:rPr>
          <w:b/>
          <w:bCs/>
          <w:szCs w:val="24"/>
        </w:rPr>
        <w:br w:type="page"/>
      </w:r>
      <w:r w:rsidR="002600D4" w:rsidRPr="00C07D46">
        <w:rPr>
          <w:b/>
          <w:szCs w:val="24"/>
        </w:rPr>
        <w:lastRenderedPageBreak/>
        <w:t>Schedule 1</w:t>
      </w:r>
    </w:p>
    <w:p w:rsidR="002600D4" w:rsidRPr="00C07D46" w:rsidRDefault="002600D4" w:rsidP="002600D4">
      <w:pPr>
        <w:tabs>
          <w:tab w:val="left" w:pos="720"/>
          <w:tab w:val="center" w:pos="4153"/>
          <w:tab w:val="right" w:pos="8306"/>
        </w:tabs>
        <w:jc w:val="center"/>
        <w:rPr>
          <w:b/>
          <w:szCs w:val="24"/>
        </w:rPr>
      </w:pPr>
    </w:p>
    <w:p w:rsidR="002600D4" w:rsidRPr="00C07D46" w:rsidRDefault="002600D4" w:rsidP="002600D4">
      <w:pPr>
        <w:tabs>
          <w:tab w:val="left" w:pos="720"/>
          <w:tab w:val="center" w:pos="4153"/>
          <w:tab w:val="right" w:pos="8306"/>
        </w:tabs>
        <w:jc w:val="center"/>
        <w:rPr>
          <w:b/>
          <w:szCs w:val="24"/>
        </w:rPr>
      </w:pPr>
      <w:r w:rsidRPr="00C07D46">
        <w:rPr>
          <w:b/>
          <w:szCs w:val="24"/>
        </w:rPr>
        <w:t>SCHEDULE OF ADVICE GIVEN</w:t>
      </w:r>
    </w:p>
    <w:p w:rsidR="002600D4" w:rsidRPr="00C07D46" w:rsidRDefault="002600D4" w:rsidP="002600D4">
      <w:pPr>
        <w:tabs>
          <w:tab w:val="left" w:pos="720"/>
          <w:tab w:val="center" w:pos="4153"/>
          <w:tab w:val="right" w:pos="8306"/>
        </w:tabs>
        <w:jc w:val="center"/>
        <w:rPr>
          <w:b/>
          <w:szCs w:val="24"/>
        </w:rPr>
      </w:pPr>
    </w:p>
    <w:p w:rsidR="00EB614A" w:rsidRPr="00C07D46" w:rsidRDefault="00EB614A" w:rsidP="00EB614A">
      <w:pPr>
        <w:tabs>
          <w:tab w:val="left" w:pos="720"/>
          <w:tab w:val="center" w:pos="4153"/>
          <w:tab w:val="right" w:pos="8306"/>
        </w:tabs>
        <w:jc w:val="center"/>
        <w:rPr>
          <w:b/>
          <w:szCs w:val="24"/>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8"/>
        <w:gridCol w:w="1620"/>
        <w:gridCol w:w="1620"/>
      </w:tblGrid>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spacing w:before="120" w:after="120"/>
              <w:rPr>
                <w:b/>
                <w:szCs w:val="24"/>
              </w:rPr>
            </w:pP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spacing w:before="120" w:after="120"/>
              <w:jc w:val="center"/>
              <w:rPr>
                <w:b/>
                <w:szCs w:val="24"/>
              </w:rPr>
            </w:pPr>
            <w:r>
              <w:rPr>
                <w:b/>
                <w:szCs w:val="24"/>
              </w:rPr>
              <w:t>2021-22</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spacing w:before="120" w:after="120"/>
              <w:jc w:val="center"/>
              <w:rPr>
                <w:b/>
                <w:szCs w:val="24"/>
              </w:rPr>
            </w:pPr>
            <w:r>
              <w:rPr>
                <w:b/>
                <w:szCs w:val="24"/>
              </w:rPr>
              <w:t>2022-23</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rFonts w:eastAsia="Arial Unicode MS"/>
                <w:kern w:val="28"/>
              </w:rPr>
              <w:t>Department of State Growth</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71</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53</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kern w:val="28"/>
              </w:rPr>
              <w:t>Department of Education</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41</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11</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kern w:val="28"/>
              </w:rPr>
            </w:pPr>
            <w:r>
              <w:rPr>
                <w:kern w:val="28"/>
              </w:rPr>
              <w:t>Department for Education, Children and Young People</w:t>
            </w:r>
          </w:p>
        </w:tc>
        <w:tc>
          <w:tcPr>
            <w:tcW w:w="1620" w:type="dxa"/>
            <w:tcBorders>
              <w:top w:val="single" w:sz="6" w:space="0" w:color="auto"/>
              <w:left w:val="single" w:sz="6" w:space="0" w:color="auto"/>
              <w:bottom w:val="single" w:sz="6" w:space="0" w:color="auto"/>
              <w:right w:val="single" w:sz="6" w:space="0" w:color="auto"/>
            </w:tcBorders>
          </w:tcPr>
          <w:p w:rsidR="00EB614A" w:rsidRDefault="00EB614A" w:rsidP="00706527">
            <w:pPr>
              <w:tabs>
                <w:tab w:val="right" w:pos="812"/>
              </w:tabs>
              <w:spacing w:before="120" w:after="120"/>
              <w:jc w:val="center"/>
              <w:rPr>
                <w:lang w:eastAsia="en-AU"/>
              </w:rPr>
            </w:pPr>
            <w:r>
              <w:rPr>
                <w:lang w:eastAsia="en-AU"/>
              </w:rPr>
              <w:t>0</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36</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kern w:val="28"/>
              </w:rPr>
              <w:t xml:space="preserve">Department of Health </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39</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30</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kern w:val="28"/>
              </w:rPr>
              <w:t>Department of Justice</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187</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144</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kern w:val="28"/>
              </w:rPr>
              <w:t>Department of Police, Fire and Emergency Management</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11</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15</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kern w:val="28"/>
              </w:rPr>
              <w:t>Department of Premier and Cabinet</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83</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73</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kern w:val="28"/>
              </w:rPr>
              <w:t>Department of Primary Industries, Parks, Water and the Environment</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76</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1</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kern w:val="28"/>
              </w:rPr>
            </w:pPr>
            <w:r>
              <w:rPr>
                <w:kern w:val="28"/>
              </w:rPr>
              <w:t>Department of Natural Resources and Environment Tasmania</w:t>
            </w:r>
          </w:p>
        </w:tc>
        <w:tc>
          <w:tcPr>
            <w:tcW w:w="1620" w:type="dxa"/>
            <w:tcBorders>
              <w:top w:val="single" w:sz="6" w:space="0" w:color="auto"/>
              <w:left w:val="single" w:sz="6" w:space="0" w:color="auto"/>
              <w:bottom w:val="single" w:sz="6" w:space="0" w:color="auto"/>
              <w:right w:val="single" w:sz="6" w:space="0" w:color="auto"/>
            </w:tcBorders>
          </w:tcPr>
          <w:p w:rsidR="00EB614A" w:rsidRDefault="00EB614A" w:rsidP="00706527">
            <w:pPr>
              <w:tabs>
                <w:tab w:val="right" w:pos="812"/>
              </w:tabs>
              <w:spacing w:before="120" w:after="120"/>
              <w:jc w:val="center"/>
              <w:rPr>
                <w:lang w:eastAsia="en-AU"/>
              </w:rPr>
            </w:pPr>
            <w:r>
              <w:rPr>
                <w:lang w:eastAsia="en-AU"/>
              </w:rPr>
              <w:t>0</w:t>
            </w:r>
          </w:p>
        </w:tc>
        <w:tc>
          <w:tcPr>
            <w:tcW w:w="1620" w:type="dxa"/>
            <w:tcBorders>
              <w:top w:val="single" w:sz="6" w:space="0" w:color="auto"/>
              <w:left w:val="single" w:sz="6" w:space="0" w:color="auto"/>
              <w:bottom w:val="single" w:sz="6" w:space="0" w:color="auto"/>
              <w:right w:val="single" w:sz="6" w:space="0" w:color="auto"/>
            </w:tcBorders>
          </w:tcPr>
          <w:p w:rsidR="00EB614A" w:rsidRDefault="00EB614A" w:rsidP="00706527">
            <w:pPr>
              <w:tabs>
                <w:tab w:val="right" w:pos="812"/>
              </w:tabs>
              <w:spacing w:before="120" w:after="120"/>
              <w:jc w:val="center"/>
              <w:rPr>
                <w:lang w:eastAsia="en-AU"/>
              </w:rPr>
            </w:pPr>
            <w:r>
              <w:rPr>
                <w:lang w:eastAsia="en-AU"/>
              </w:rPr>
              <w:t>87</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kern w:val="28"/>
              </w:rPr>
            </w:pPr>
            <w:r w:rsidRPr="00C07D46">
              <w:rPr>
                <w:kern w:val="28"/>
              </w:rPr>
              <w:t>Department of Communities Tasmania</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20</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4</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kern w:val="28"/>
              </w:rPr>
              <w:t>Department of Treasury and Finance</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31</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25</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kern w:val="28"/>
              </w:rPr>
              <w:t>Tasmanian Audit Office</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2</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3</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kern w:val="28"/>
              </w:rPr>
              <w:t>The Public Trustee</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6</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4</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kern w:val="28"/>
              </w:rPr>
            </w:pPr>
            <w:r w:rsidRPr="00C07D46">
              <w:rPr>
                <w:kern w:val="28"/>
              </w:rPr>
              <w:t>Other bodies and offices</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6</w:t>
            </w:r>
            <w:r w:rsidRPr="00C07D46">
              <w:rPr>
                <w:lang w:eastAsia="en-AU"/>
              </w:rPr>
              <w:t>1</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r>
              <w:rPr>
                <w:lang w:eastAsia="en-AU"/>
              </w:rPr>
              <w:t>84</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b/>
                <w:kern w:val="28"/>
              </w:rPr>
            </w:pPr>
            <w:r w:rsidRPr="00C07D46">
              <w:rPr>
                <w:b/>
                <w:kern w:val="28"/>
              </w:rPr>
              <w:t>TOTAL ADVISINGS</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b/>
                <w:lang w:eastAsia="en-AU"/>
              </w:rPr>
            </w:pPr>
            <w:r>
              <w:rPr>
                <w:b/>
                <w:lang w:eastAsia="en-AU"/>
              </w:rPr>
              <w:t>628</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b/>
                <w:lang w:eastAsia="en-AU"/>
              </w:rPr>
            </w:pPr>
            <w:r>
              <w:rPr>
                <w:b/>
                <w:lang w:eastAsia="en-AU"/>
              </w:rPr>
              <w:t>570</w:t>
            </w: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spacing w:before="120" w:after="120"/>
              <w:rPr>
                <w:lang w:eastAsia="en-AU"/>
              </w:rPr>
            </w:pP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lang w:eastAsia="en-AU"/>
              </w:rPr>
            </w:pPr>
          </w:p>
        </w:tc>
      </w:tr>
      <w:tr w:rsidR="00EB614A" w:rsidRPr="00C07D46" w:rsidTr="00706527">
        <w:tc>
          <w:tcPr>
            <w:tcW w:w="5688"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keepNext/>
              <w:spacing w:before="120" w:after="120"/>
              <w:jc w:val="both"/>
              <w:outlineLvl w:val="0"/>
              <w:rPr>
                <w:rFonts w:eastAsia="Arial Unicode MS"/>
                <w:b/>
                <w:kern w:val="28"/>
              </w:rPr>
            </w:pPr>
            <w:r w:rsidRPr="00C07D46">
              <w:rPr>
                <w:b/>
                <w:kern w:val="28"/>
              </w:rPr>
              <w:t>Section 78B Notices</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b/>
                <w:lang w:eastAsia="en-AU"/>
              </w:rPr>
            </w:pPr>
            <w:r>
              <w:rPr>
                <w:b/>
                <w:lang w:eastAsia="en-AU"/>
              </w:rPr>
              <w:t>177</w:t>
            </w:r>
          </w:p>
        </w:tc>
        <w:tc>
          <w:tcPr>
            <w:tcW w:w="1620" w:type="dxa"/>
            <w:tcBorders>
              <w:top w:val="single" w:sz="6" w:space="0" w:color="auto"/>
              <w:left w:val="single" w:sz="6" w:space="0" w:color="auto"/>
              <w:bottom w:val="single" w:sz="6" w:space="0" w:color="auto"/>
              <w:right w:val="single" w:sz="6" w:space="0" w:color="auto"/>
            </w:tcBorders>
          </w:tcPr>
          <w:p w:rsidR="00EB614A" w:rsidRPr="00C07D46" w:rsidRDefault="00EB614A" w:rsidP="00706527">
            <w:pPr>
              <w:tabs>
                <w:tab w:val="right" w:pos="812"/>
              </w:tabs>
              <w:spacing w:before="120" w:after="120"/>
              <w:jc w:val="center"/>
              <w:rPr>
                <w:b/>
                <w:lang w:eastAsia="en-AU"/>
              </w:rPr>
            </w:pPr>
            <w:r>
              <w:rPr>
                <w:b/>
                <w:lang w:eastAsia="en-AU"/>
              </w:rPr>
              <w:t>159</w:t>
            </w:r>
          </w:p>
        </w:tc>
      </w:tr>
    </w:tbl>
    <w:p w:rsidR="00EB614A" w:rsidRDefault="00EB614A" w:rsidP="00EB614A"/>
    <w:p w:rsidR="00EB614A" w:rsidRDefault="00EB614A" w:rsidP="00EB614A">
      <w:pPr>
        <w:overflowPunct/>
        <w:autoSpaceDE/>
        <w:autoSpaceDN/>
        <w:adjustRightInd/>
        <w:spacing w:after="160" w:line="259" w:lineRule="auto"/>
        <w:textAlignment w:val="auto"/>
      </w:pPr>
      <w:r>
        <w:br w:type="page"/>
      </w:r>
    </w:p>
    <w:p w:rsidR="002600D4" w:rsidRDefault="002600D4">
      <w:pPr>
        <w:overflowPunct/>
        <w:autoSpaceDE/>
        <w:autoSpaceDN/>
        <w:adjustRightInd/>
        <w:textAlignment w:val="auto"/>
        <w:rPr>
          <w:b/>
          <w:bCs/>
          <w:szCs w:val="24"/>
        </w:rPr>
      </w:pPr>
    </w:p>
    <w:p w:rsidR="00F91BFE" w:rsidRPr="00C07D46" w:rsidRDefault="00F91BFE" w:rsidP="00F91BFE">
      <w:pPr>
        <w:tabs>
          <w:tab w:val="left" w:pos="720"/>
          <w:tab w:val="center" w:pos="4153"/>
          <w:tab w:val="right" w:pos="8306"/>
        </w:tabs>
        <w:jc w:val="center"/>
        <w:rPr>
          <w:b/>
          <w:szCs w:val="24"/>
        </w:rPr>
      </w:pPr>
      <w:r w:rsidRPr="00C07D46">
        <w:rPr>
          <w:b/>
          <w:szCs w:val="24"/>
        </w:rPr>
        <w:t>Schedule 2</w:t>
      </w:r>
    </w:p>
    <w:p w:rsidR="00F91BFE" w:rsidRPr="00C07D46" w:rsidRDefault="00F91BFE" w:rsidP="00F91BFE">
      <w:pPr>
        <w:tabs>
          <w:tab w:val="left" w:pos="720"/>
          <w:tab w:val="center" w:pos="4153"/>
          <w:tab w:val="right" w:pos="8306"/>
        </w:tabs>
        <w:jc w:val="center"/>
        <w:rPr>
          <w:b/>
          <w:szCs w:val="24"/>
        </w:rPr>
      </w:pPr>
    </w:p>
    <w:p w:rsidR="00F91BFE" w:rsidRDefault="00F91BFE" w:rsidP="00F91BFE">
      <w:pPr>
        <w:tabs>
          <w:tab w:val="left" w:pos="720"/>
          <w:tab w:val="center" w:pos="4153"/>
          <w:tab w:val="right" w:pos="8306"/>
        </w:tabs>
        <w:jc w:val="center"/>
        <w:rPr>
          <w:b/>
          <w:szCs w:val="24"/>
        </w:rPr>
      </w:pPr>
      <w:r w:rsidRPr="00C07D46">
        <w:rPr>
          <w:b/>
          <w:szCs w:val="24"/>
        </w:rPr>
        <w:t>CIVIL FILES OPEN</w:t>
      </w:r>
      <w:r>
        <w:rPr>
          <w:b/>
          <w:szCs w:val="24"/>
        </w:rPr>
        <w:t>ED AND CLOSED AS AT 30 JUNE 202</w:t>
      </w:r>
      <w:r w:rsidR="00A8629A">
        <w:rPr>
          <w:b/>
          <w:szCs w:val="24"/>
        </w:rPr>
        <w:t>3</w:t>
      </w:r>
    </w:p>
    <w:tbl>
      <w:tblPr>
        <w:tblW w:w="87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21"/>
        <w:gridCol w:w="1677"/>
        <w:gridCol w:w="1578"/>
      </w:tblGrid>
      <w:tr w:rsidR="00EB614A" w:rsidRPr="00C07D46" w:rsidTr="00706527">
        <w:trPr>
          <w:trHeight w:val="340"/>
          <w:jc w:val="center"/>
        </w:trPr>
        <w:tc>
          <w:tcPr>
            <w:tcW w:w="5521" w:type="dxa"/>
            <w:shd w:val="clear" w:color="auto" w:fill="auto"/>
            <w:vAlign w:val="center"/>
          </w:tcPr>
          <w:p w:rsidR="00EB614A" w:rsidRPr="00C07D46" w:rsidRDefault="00EB614A" w:rsidP="00706527">
            <w:pPr>
              <w:spacing w:before="120" w:after="120"/>
              <w:rPr>
                <w:b/>
                <w:szCs w:val="24"/>
              </w:rPr>
            </w:pPr>
            <w:r w:rsidRPr="00C07D46">
              <w:rPr>
                <w:b/>
                <w:szCs w:val="24"/>
              </w:rPr>
              <w:t>Work type</w:t>
            </w:r>
          </w:p>
        </w:tc>
        <w:tc>
          <w:tcPr>
            <w:tcW w:w="1677" w:type="dxa"/>
            <w:vAlign w:val="center"/>
          </w:tcPr>
          <w:p w:rsidR="00EB614A" w:rsidRPr="00C07D46" w:rsidRDefault="00EB614A" w:rsidP="00706527">
            <w:pPr>
              <w:spacing w:before="120" w:after="120"/>
              <w:jc w:val="center"/>
              <w:rPr>
                <w:b/>
                <w:szCs w:val="24"/>
              </w:rPr>
            </w:pPr>
            <w:r w:rsidRPr="00C07D46">
              <w:rPr>
                <w:b/>
                <w:szCs w:val="24"/>
              </w:rPr>
              <w:t>Opened</w:t>
            </w:r>
          </w:p>
        </w:tc>
        <w:tc>
          <w:tcPr>
            <w:tcW w:w="1578" w:type="dxa"/>
            <w:vAlign w:val="center"/>
          </w:tcPr>
          <w:p w:rsidR="00EB614A" w:rsidRPr="00C07D46" w:rsidRDefault="00EB614A" w:rsidP="00706527">
            <w:pPr>
              <w:spacing w:before="120" w:after="120"/>
              <w:jc w:val="center"/>
              <w:rPr>
                <w:b/>
                <w:szCs w:val="24"/>
              </w:rPr>
            </w:pPr>
            <w:r w:rsidRPr="00C07D46">
              <w:rPr>
                <w:b/>
                <w:szCs w:val="24"/>
              </w:rPr>
              <w:t>Closed</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Abuse in Care</w:t>
            </w:r>
          </w:p>
        </w:tc>
        <w:tc>
          <w:tcPr>
            <w:tcW w:w="1677" w:type="dxa"/>
            <w:vAlign w:val="center"/>
          </w:tcPr>
          <w:p w:rsidR="00EB614A" w:rsidRPr="00602846" w:rsidRDefault="00EB614A" w:rsidP="00706527">
            <w:pPr>
              <w:spacing w:before="120" w:after="120"/>
              <w:ind w:right="-105"/>
              <w:jc w:val="center"/>
              <w:rPr>
                <w:szCs w:val="24"/>
              </w:rPr>
            </w:pPr>
            <w:r w:rsidRPr="00602846">
              <w:rPr>
                <w:szCs w:val="24"/>
              </w:rPr>
              <w:t>114</w:t>
            </w:r>
          </w:p>
        </w:tc>
        <w:tc>
          <w:tcPr>
            <w:tcW w:w="1578" w:type="dxa"/>
            <w:vAlign w:val="center"/>
          </w:tcPr>
          <w:p w:rsidR="00EB614A" w:rsidRPr="00602846" w:rsidRDefault="00EB614A" w:rsidP="00706527">
            <w:pPr>
              <w:spacing w:before="120" w:after="120"/>
              <w:ind w:right="-105"/>
              <w:jc w:val="center"/>
              <w:rPr>
                <w:szCs w:val="24"/>
              </w:rPr>
            </w:pPr>
            <w:r w:rsidRPr="00602846">
              <w:rPr>
                <w:szCs w:val="24"/>
              </w:rPr>
              <w:t>39</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Administrative Reviews to Magistrates Court</w:t>
            </w:r>
          </w:p>
        </w:tc>
        <w:tc>
          <w:tcPr>
            <w:tcW w:w="1677" w:type="dxa"/>
            <w:vAlign w:val="center"/>
          </w:tcPr>
          <w:p w:rsidR="00EB614A" w:rsidRPr="00602846" w:rsidRDefault="00EB614A" w:rsidP="00706527">
            <w:pPr>
              <w:spacing w:before="120" w:after="120"/>
              <w:ind w:right="-105"/>
              <w:jc w:val="center"/>
              <w:rPr>
                <w:szCs w:val="24"/>
              </w:rPr>
            </w:pPr>
            <w:r w:rsidRPr="00602846">
              <w:rPr>
                <w:szCs w:val="24"/>
              </w:rPr>
              <w:t>23</w:t>
            </w:r>
          </w:p>
        </w:tc>
        <w:tc>
          <w:tcPr>
            <w:tcW w:w="1578" w:type="dxa"/>
            <w:vAlign w:val="center"/>
          </w:tcPr>
          <w:p w:rsidR="00EB614A" w:rsidRPr="00602846" w:rsidRDefault="00EB614A" w:rsidP="00706527">
            <w:pPr>
              <w:spacing w:before="120" w:after="120"/>
              <w:ind w:right="-105"/>
              <w:jc w:val="center"/>
              <w:rPr>
                <w:szCs w:val="24"/>
              </w:rPr>
            </w:pPr>
            <w:r w:rsidRPr="00602846">
              <w:rPr>
                <w:szCs w:val="24"/>
              </w:rPr>
              <w:t>24</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Anti-discrimination</w:t>
            </w:r>
          </w:p>
        </w:tc>
        <w:tc>
          <w:tcPr>
            <w:tcW w:w="1677" w:type="dxa"/>
            <w:vAlign w:val="center"/>
          </w:tcPr>
          <w:p w:rsidR="00EB614A" w:rsidRPr="00602846" w:rsidRDefault="00EB614A" w:rsidP="00706527">
            <w:pPr>
              <w:spacing w:before="120" w:after="120"/>
              <w:ind w:right="-105"/>
              <w:jc w:val="center"/>
              <w:rPr>
                <w:szCs w:val="24"/>
              </w:rPr>
            </w:pPr>
            <w:r w:rsidRPr="00602846">
              <w:rPr>
                <w:szCs w:val="24"/>
              </w:rPr>
              <w:t>14</w:t>
            </w:r>
          </w:p>
        </w:tc>
        <w:tc>
          <w:tcPr>
            <w:tcW w:w="1578" w:type="dxa"/>
            <w:vAlign w:val="center"/>
          </w:tcPr>
          <w:p w:rsidR="00EB614A" w:rsidRPr="00602846" w:rsidRDefault="00EB614A" w:rsidP="00706527">
            <w:pPr>
              <w:spacing w:before="120" w:after="120"/>
              <w:ind w:right="-105"/>
              <w:jc w:val="center"/>
              <w:rPr>
                <w:szCs w:val="24"/>
              </w:rPr>
            </w:pPr>
            <w:r w:rsidRPr="00602846">
              <w:rPr>
                <w:szCs w:val="24"/>
              </w:rPr>
              <w:t>31</w:t>
            </w:r>
          </w:p>
        </w:tc>
      </w:tr>
      <w:tr w:rsidR="00715A2E" w:rsidRPr="00C07D46" w:rsidTr="00706527">
        <w:trPr>
          <w:trHeight w:val="340"/>
          <w:jc w:val="center"/>
        </w:trPr>
        <w:tc>
          <w:tcPr>
            <w:tcW w:w="5521" w:type="dxa"/>
            <w:vAlign w:val="center"/>
          </w:tcPr>
          <w:p w:rsidR="00715A2E" w:rsidRPr="00602846" w:rsidRDefault="00715A2E" w:rsidP="00706527">
            <w:pPr>
              <w:spacing w:before="120" w:after="120"/>
              <w:rPr>
                <w:szCs w:val="24"/>
              </w:rPr>
            </w:pPr>
            <w:r>
              <w:rPr>
                <w:szCs w:val="24"/>
              </w:rPr>
              <w:t>Appeals</w:t>
            </w:r>
          </w:p>
        </w:tc>
        <w:tc>
          <w:tcPr>
            <w:tcW w:w="1677" w:type="dxa"/>
            <w:vAlign w:val="center"/>
          </w:tcPr>
          <w:p w:rsidR="00715A2E" w:rsidRPr="00602846" w:rsidRDefault="00715A2E" w:rsidP="00706527">
            <w:pPr>
              <w:spacing w:before="120" w:after="120"/>
              <w:ind w:right="-105"/>
              <w:jc w:val="center"/>
              <w:rPr>
                <w:szCs w:val="24"/>
              </w:rPr>
            </w:pPr>
            <w:r>
              <w:rPr>
                <w:szCs w:val="24"/>
              </w:rPr>
              <w:t>13</w:t>
            </w:r>
          </w:p>
        </w:tc>
        <w:tc>
          <w:tcPr>
            <w:tcW w:w="1578" w:type="dxa"/>
            <w:vAlign w:val="center"/>
          </w:tcPr>
          <w:p w:rsidR="00715A2E" w:rsidRPr="00602846" w:rsidRDefault="00715A2E" w:rsidP="00706527">
            <w:pPr>
              <w:spacing w:before="120" w:after="120"/>
              <w:ind w:right="-105"/>
              <w:jc w:val="center"/>
              <w:rPr>
                <w:szCs w:val="24"/>
              </w:rPr>
            </w:pPr>
            <w:r>
              <w:rPr>
                <w:szCs w:val="24"/>
              </w:rPr>
              <w:t>16</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Asbestos Compensation</w:t>
            </w:r>
          </w:p>
        </w:tc>
        <w:tc>
          <w:tcPr>
            <w:tcW w:w="1677" w:type="dxa"/>
            <w:vAlign w:val="center"/>
          </w:tcPr>
          <w:p w:rsidR="00EB614A" w:rsidRPr="00602846" w:rsidRDefault="00EB614A" w:rsidP="00706527">
            <w:pPr>
              <w:spacing w:before="120" w:after="120"/>
              <w:ind w:right="-105"/>
              <w:jc w:val="center"/>
              <w:rPr>
                <w:szCs w:val="24"/>
              </w:rPr>
            </w:pPr>
            <w:r w:rsidRPr="00602846">
              <w:rPr>
                <w:szCs w:val="24"/>
              </w:rPr>
              <w:t>2</w:t>
            </w:r>
          </w:p>
        </w:tc>
        <w:tc>
          <w:tcPr>
            <w:tcW w:w="1578" w:type="dxa"/>
            <w:vAlign w:val="center"/>
          </w:tcPr>
          <w:p w:rsidR="00EB614A" w:rsidRPr="00602846" w:rsidRDefault="00EB614A" w:rsidP="00706527">
            <w:pPr>
              <w:spacing w:before="120" w:after="120"/>
              <w:ind w:right="-105"/>
              <w:jc w:val="center"/>
              <w:rPr>
                <w:szCs w:val="24"/>
              </w:rPr>
            </w:pPr>
            <w:r w:rsidRPr="00602846">
              <w:rPr>
                <w:szCs w:val="24"/>
              </w:rPr>
              <w:t>1</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Charity</w:t>
            </w:r>
          </w:p>
        </w:tc>
        <w:tc>
          <w:tcPr>
            <w:tcW w:w="1677" w:type="dxa"/>
            <w:vAlign w:val="center"/>
          </w:tcPr>
          <w:p w:rsidR="00EB614A" w:rsidRPr="00602846" w:rsidRDefault="00EB614A" w:rsidP="00706527">
            <w:pPr>
              <w:spacing w:before="120" w:after="120"/>
              <w:ind w:right="-105"/>
              <w:jc w:val="center"/>
              <w:rPr>
                <w:szCs w:val="24"/>
              </w:rPr>
            </w:pPr>
            <w:r w:rsidRPr="00602846">
              <w:rPr>
                <w:szCs w:val="24"/>
              </w:rPr>
              <w:t>1</w:t>
            </w:r>
          </w:p>
        </w:tc>
        <w:tc>
          <w:tcPr>
            <w:tcW w:w="1578" w:type="dxa"/>
            <w:vAlign w:val="center"/>
          </w:tcPr>
          <w:p w:rsidR="00EB614A" w:rsidRPr="00602846" w:rsidRDefault="00EB614A" w:rsidP="00706527">
            <w:pPr>
              <w:spacing w:before="120" w:after="120"/>
              <w:ind w:right="-105"/>
              <w:jc w:val="center"/>
              <w:rPr>
                <w:szCs w:val="24"/>
              </w:rPr>
            </w:pPr>
            <w:r w:rsidRPr="00602846">
              <w:rPr>
                <w:szCs w:val="24"/>
              </w:rPr>
              <w:t>8</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Contract</w:t>
            </w:r>
          </w:p>
        </w:tc>
        <w:tc>
          <w:tcPr>
            <w:tcW w:w="1677" w:type="dxa"/>
            <w:vAlign w:val="center"/>
          </w:tcPr>
          <w:p w:rsidR="00EB614A" w:rsidRPr="00602846" w:rsidRDefault="00EB614A" w:rsidP="00706527">
            <w:pPr>
              <w:spacing w:before="120" w:after="120"/>
              <w:ind w:right="-105"/>
              <w:jc w:val="center"/>
              <w:rPr>
                <w:szCs w:val="24"/>
              </w:rPr>
            </w:pPr>
            <w:r w:rsidRPr="00602846">
              <w:rPr>
                <w:szCs w:val="24"/>
              </w:rPr>
              <w:t>2</w:t>
            </w:r>
          </w:p>
        </w:tc>
        <w:tc>
          <w:tcPr>
            <w:tcW w:w="1578" w:type="dxa"/>
            <w:vAlign w:val="center"/>
          </w:tcPr>
          <w:p w:rsidR="00EB614A" w:rsidRPr="00602846" w:rsidRDefault="00EB614A" w:rsidP="00706527">
            <w:pPr>
              <w:spacing w:before="120" w:after="120"/>
              <w:ind w:right="-105"/>
              <w:jc w:val="center"/>
              <w:rPr>
                <w:szCs w:val="24"/>
              </w:rPr>
            </w:pPr>
            <w:r w:rsidRPr="00602846">
              <w:rPr>
                <w:szCs w:val="24"/>
              </w:rPr>
              <w:t>7</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Coronial</w:t>
            </w:r>
          </w:p>
        </w:tc>
        <w:tc>
          <w:tcPr>
            <w:tcW w:w="1677" w:type="dxa"/>
            <w:vAlign w:val="center"/>
          </w:tcPr>
          <w:p w:rsidR="00EB614A" w:rsidRPr="00602846" w:rsidRDefault="00EB614A" w:rsidP="00706527">
            <w:pPr>
              <w:spacing w:before="120" w:after="120"/>
              <w:ind w:right="-105"/>
              <w:jc w:val="center"/>
              <w:rPr>
                <w:szCs w:val="24"/>
              </w:rPr>
            </w:pPr>
            <w:r w:rsidRPr="00602846">
              <w:rPr>
                <w:szCs w:val="24"/>
              </w:rPr>
              <w:t>17</w:t>
            </w:r>
          </w:p>
        </w:tc>
        <w:tc>
          <w:tcPr>
            <w:tcW w:w="1578" w:type="dxa"/>
            <w:vAlign w:val="center"/>
          </w:tcPr>
          <w:p w:rsidR="00EB614A" w:rsidRPr="00602846" w:rsidRDefault="00EB614A" w:rsidP="00706527">
            <w:pPr>
              <w:spacing w:before="120" w:after="120"/>
              <w:ind w:right="-105"/>
              <w:jc w:val="center"/>
              <w:rPr>
                <w:rFonts w:eastAsiaTheme="minorEastAsia"/>
                <w:szCs w:val="24"/>
                <w:lang w:eastAsia="zh-CN"/>
              </w:rPr>
            </w:pPr>
            <w:r w:rsidRPr="00602846">
              <w:rPr>
                <w:rFonts w:eastAsiaTheme="minorEastAsia" w:hint="eastAsia"/>
                <w:szCs w:val="24"/>
                <w:lang w:eastAsia="zh-CN"/>
              </w:rPr>
              <w:t>1</w:t>
            </w:r>
            <w:r w:rsidRPr="00602846">
              <w:rPr>
                <w:rFonts w:eastAsiaTheme="minorEastAsia"/>
                <w:szCs w:val="24"/>
                <w:lang w:eastAsia="zh-CN"/>
              </w:rPr>
              <w:t>7</w:t>
            </w:r>
          </w:p>
        </w:tc>
      </w:tr>
      <w:tr w:rsidR="00E75921" w:rsidRPr="00C07D46" w:rsidTr="00706527">
        <w:trPr>
          <w:trHeight w:val="340"/>
          <w:jc w:val="center"/>
        </w:trPr>
        <w:tc>
          <w:tcPr>
            <w:tcW w:w="5521" w:type="dxa"/>
            <w:vAlign w:val="center"/>
          </w:tcPr>
          <w:p w:rsidR="00E75921" w:rsidRPr="00602846" w:rsidRDefault="00E75921" w:rsidP="00E75921">
            <w:pPr>
              <w:spacing w:before="120" w:after="120"/>
              <w:rPr>
                <w:szCs w:val="24"/>
              </w:rPr>
            </w:pPr>
            <w:r>
              <w:rPr>
                <w:szCs w:val="24"/>
              </w:rPr>
              <w:t xml:space="preserve">Debt </w:t>
            </w:r>
            <w:r w:rsidRPr="00602846">
              <w:rPr>
                <w:szCs w:val="24"/>
              </w:rPr>
              <w:t>Recovery</w:t>
            </w:r>
          </w:p>
        </w:tc>
        <w:tc>
          <w:tcPr>
            <w:tcW w:w="1677" w:type="dxa"/>
            <w:vAlign w:val="center"/>
          </w:tcPr>
          <w:p w:rsidR="00E75921" w:rsidRPr="00602846" w:rsidRDefault="00E75921" w:rsidP="00E75921">
            <w:pPr>
              <w:spacing w:before="120" w:after="120"/>
              <w:ind w:right="-105"/>
              <w:jc w:val="center"/>
              <w:rPr>
                <w:szCs w:val="24"/>
              </w:rPr>
            </w:pPr>
            <w:r w:rsidRPr="00602846">
              <w:rPr>
                <w:szCs w:val="24"/>
              </w:rPr>
              <w:t>39</w:t>
            </w:r>
          </w:p>
        </w:tc>
        <w:tc>
          <w:tcPr>
            <w:tcW w:w="1578" w:type="dxa"/>
            <w:vAlign w:val="center"/>
          </w:tcPr>
          <w:p w:rsidR="00E75921" w:rsidRPr="00602846" w:rsidRDefault="00E75921" w:rsidP="00E75921">
            <w:pPr>
              <w:spacing w:before="120" w:after="120"/>
              <w:ind w:right="-105"/>
              <w:jc w:val="center"/>
              <w:rPr>
                <w:rFonts w:eastAsiaTheme="minorEastAsia"/>
                <w:szCs w:val="24"/>
                <w:lang w:eastAsia="zh-CN"/>
              </w:rPr>
            </w:pPr>
            <w:r w:rsidRPr="00602846">
              <w:rPr>
                <w:szCs w:val="24"/>
              </w:rPr>
              <w:t>29</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Employment /Industrial</w:t>
            </w:r>
          </w:p>
        </w:tc>
        <w:tc>
          <w:tcPr>
            <w:tcW w:w="1677" w:type="dxa"/>
            <w:vAlign w:val="center"/>
          </w:tcPr>
          <w:p w:rsidR="00EB614A" w:rsidRPr="00602846" w:rsidRDefault="00EB614A" w:rsidP="00706527">
            <w:pPr>
              <w:spacing w:before="120" w:after="120"/>
              <w:ind w:right="-105"/>
              <w:jc w:val="center"/>
              <w:rPr>
                <w:szCs w:val="24"/>
              </w:rPr>
            </w:pPr>
            <w:r w:rsidRPr="00602846">
              <w:rPr>
                <w:szCs w:val="24"/>
              </w:rPr>
              <w:t>25</w:t>
            </w:r>
          </w:p>
        </w:tc>
        <w:tc>
          <w:tcPr>
            <w:tcW w:w="1578" w:type="dxa"/>
            <w:vAlign w:val="center"/>
          </w:tcPr>
          <w:p w:rsidR="00EB614A" w:rsidRPr="00602846" w:rsidRDefault="00EB614A" w:rsidP="00706527">
            <w:pPr>
              <w:spacing w:before="120" w:after="120"/>
              <w:ind w:right="-105"/>
              <w:jc w:val="center"/>
              <w:rPr>
                <w:szCs w:val="24"/>
              </w:rPr>
            </w:pPr>
            <w:r w:rsidRPr="00602846">
              <w:rPr>
                <w:szCs w:val="24"/>
              </w:rPr>
              <w:t>36</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Environment</w:t>
            </w:r>
          </w:p>
        </w:tc>
        <w:tc>
          <w:tcPr>
            <w:tcW w:w="1677" w:type="dxa"/>
            <w:vAlign w:val="center"/>
          </w:tcPr>
          <w:p w:rsidR="00EB614A" w:rsidRPr="00602846" w:rsidRDefault="00EB614A" w:rsidP="00706527">
            <w:pPr>
              <w:spacing w:before="120" w:after="120"/>
              <w:ind w:right="-105"/>
              <w:jc w:val="center"/>
              <w:rPr>
                <w:szCs w:val="24"/>
              </w:rPr>
            </w:pPr>
            <w:r w:rsidRPr="00602846">
              <w:rPr>
                <w:szCs w:val="24"/>
              </w:rPr>
              <w:t>2</w:t>
            </w:r>
          </w:p>
        </w:tc>
        <w:tc>
          <w:tcPr>
            <w:tcW w:w="1578" w:type="dxa"/>
            <w:vAlign w:val="center"/>
          </w:tcPr>
          <w:p w:rsidR="00EB614A" w:rsidRPr="00602846" w:rsidRDefault="00EB614A" w:rsidP="00706527">
            <w:pPr>
              <w:spacing w:before="120" w:after="120"/>
              <w:ind w:right="-105"/>
              <w:jc w:val="center"/>
              <w:rPr>
                <w:szCs w:val="24"/>
              </w:rPr>
            </w:pPr>
            <w:r w:rsidRPr="00602846">
              <w:rPr>
                <w:szCs w:val="24"/>
              </w:rPr>
              <w:t>1</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Judicial Review</w:t>
            </w:r>
          </w:p>
        </w:tc>
        <w:tc>
          <w:tcPr>
            <w:tcW w:w="1677" w:type="dxa"/>
            <w:vAlign w:val="center"/>
          </w:tcPr>
          <w:p w:rsidR="00EB614A" w:rsidRPr="00602846" w:rsidRDefault="00EB614A" w:rsidP="00706527">
            <w:pPr>
              <w:spacing w:before="120" w:after="120"/>
              <w:ind w:right="-105"/>
              <w:jc w:val="center"/>
              <w:rPr>
                <w:szCs w:val="24"/>
              </w:rPr>
            </w:pPr>
            <w:r w:rsidRPr="00602846">
              <w:rPr>
                <w:szCs w:val="24"/>
              </w:rPr>
              <w:t>11</w:t>
            </w:r>
          </w:p>
        </w:tc>
        <w:tc>
          <w:tcPr>
            <w:tcW w:w="1578" w:type="dxa"/>
            <w:vAlign w:val="center"/>
          </w:tcPr>
          <w:p w:rsidR="00EB614A" w:rsidRPr="00602846" w:rsidRDefault="00EB614A" w:rsidP="00706527">
            <w:pPr>
              <w:spacing w:before="120" w:after="120"/>
              <w:ind w:right="-105"/>
              <w:jc w:val="center"/>
              <w:rPr>
                <w:szCs w:val="24"/>
              </w:rPr>
            </w:pPr>
            <w:r w:rsidRPr="00602846">
              <w:rPr>
                <w:szCs w:val="24"/>
              </w:rPr>
              <w:t>22</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Land</w:t>
            </w:r>
          </w:p>
        </w:tc>
        <w:tc>
          <w:tcPr>
            <w:tcW w:w="1677" w:type="dxa"/>
            <w:vAlign w:val="center"/>
          </w:tcPr>
          <w:p w:rsidR="00EB614A" w:rsidRPr="00602846" w:rsidRDefault="00EB614A" w:rsidP="00706527">
            <w:pPr>
              <w:spacing w:before="120" w:after="120"/>
              <w:ind w:right="-105"/>
              <w:jc w:val="center"/>
              <w:rPr>
                <w:szCs w:val="24"/>
              </w:rPr>
            </w:pPr>
            <w:r w:rsidRPr="00602846">
              <w:rPr>
                <w:szCs w:val="24"/>
              </w:rPr>
              <w:t>5</w:t>
            </w:r>
          </w:p>
        </w:tc>
        <w:tc>
          <w:tcPr>
            <w:tcW w:w="1578" w:type="dxa"/>
            <w:vAlign w:val="center"/>
          </w:tcPr>
          <w:p w:rsidR="00EB614A" w:rsidRPr="00602846" w:rsidRDefault="00EB614A" w:rsidP="00706527">
            <w:pPr>
              <w:spacing w:before="120" w:after="120"/>
              <w:ind w:right="-105"/>
              <w:jc w:val="center"/>
              <w:rPr>
                <w:szCs w:val="24"/>
              </w:rPr>
            </w:pPr>
            <w:r w:rsidRPr="00602846">
              <w:rPr>
                <w:szCs w:val="24"/>
              </w:rPr>
              <w:t>3</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Miscellaneous</w:t>
            </w:r>
          </w:p>
        </w:tc>
        <w:tc>
          <w:tcPr>
            <w:tcW w:w="1677" w:type="dxa"/>
            <w:vAlign w:val="center"/>
          </w:tcPr>
          <w:p w:rsidR="00EB614A" w:rsidRPr="00602846" w:rsidRDefault="00EB614A" w:rsidP="00706527">
            <w:pPr>
              <w:spacing w:before="120" w:after="120"/>
              <w:ind w:right="-105"/>
              <w:jc w:val="center"/>
              <w:rPr>
                <w:szCs w:val="24"/>
              </w:rPr>
            </w:pPr>
            <w:r w:rsidRPr="00602846">
              <w:rPr>
                <w:szCs w:val="24"/>
              </w:rPr>
              <w:t>40</w:t>
            </w:r>
          </w:p>
        </w:tc>
        <w:tc>
          <w:tcPr>
            <w:tcW w:w="1578" w:type="dxa"/>
            <w:vAlign w:val="center"/>
          </w:tcPr>
          <w:p w:rsidR="00EB614A" w:rsidRPr="00602846" w:rsidRDefault="00EB614A" w:rsidP="00706527">
            <w:pPr>
              <w:spacing w:before="120" w:after="120"/>
              <w:ind w:right="-105"/>
              <w:jc w:val="center"/>
              <w:rPr>
                <w:szCs w:val="24"/>
              </w:rPr>
            </w:pPr>
            <w:r w:rsidRPr="00602846">
              <w:rPr>
                <w:szCs w:val="24"/>
              </w:rPr>
              <w:t>66</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Negligence</w:t>
            </w:r>
          </w:p>
        </w:tc>
        <w:tc>
          <w:tcPr>
            <w:tcW w:w="1677" w:type="dxa"/>
            <w:vAlign w:val="center"/>
          </w:tcPr>
          <w:p w:rsidR="00EB614A" w:rsidRPr="00602846" w:rsidRDefault="00EB614A" w:rsidP="00706527">
            <w:pPr>
              <w:spacing w:before="120" w:after="120"/>
              <w:ind w:right="-105"/>
              <w:jc w:val="center"/>
              <w:rPr>
                <w:szCs w:val="24"/>
              </w:rPr>
            </w:pPr>
            <w:r w:rsidRPr="00602846">
              <w:rPr>
                <w:szCs w:val="24"/>
              </w:rPr>
              <w:t>65</w:t>
            </w:r>
          </w:p>
        </w:tc>
        <w:tc>
          <w:tcPr>
            <w:tcW w:w="1578" w:type="dxa"/>
            <w:vAlign w:val="center"/>
          </w:tcPr>
          <w:p w:rsidR="00EB614A" w:rsidRPr="00602846" w:rsidRDefault="00EB614A" w:rsidP="00706527">
            <w:pPr>
              <w:spacing w:before="120" w:after="120"/>
              <w:ind w:right="-105"/>
              <w:jc w:val="center"/>
              <w:rPr>
                <w:szCs w:val="24"/>
              </w:rPr>
            </w:pPr>
            <w:r w:rsidRPr="00602846">
              <w:rPr>
                <w:szCs w:val="24"/>
              </w:rPr>
              <w:t>90</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Opinion</w:t>
            </w:r>
          </w:p>
        </w:tc>
        <w:tc>
          <w:tcPr>
            <w:tcW w:w="1677" w:type="dxa"/>
            <w:vAlign w:val="center"/>
          </w:tcPr>
          <w:p w:rsidR="00EB614A" w:rsidRPr="00602846" w:rsidRDefault="00EB614A" w:rsidP="00706527">
            <w:pPr>
              <w:spacing w:before="120" w:after="120"/>
              <w:ind w:right="-105"/>
              <w:jc w:val="center"/>
              <w:rPr>
                <w:szCs w:val="24"/>
              </w:rPr>
            </w:pPr>
            <w:r w:rsidRPr="00602846">
              <w:rPr>
                <w:szCs w:val="24"/>
              </w:rPr>
              <w:t>0</w:t>
            </w:r>
          </w:p>
        </w:tc>
        <w:tc>
          <w:tcPr>
            <w:tcW w:w="1578" w:type="dxa"/>
            <w:vAlign w:val="center"/>
          </w:tcPr>
          <w:p w:rsidR="00EB614A" w:rsidRPr="00602846" w:rsidRDefault="00EB614A" w:rsidP="00706527">
            <w:pPr>
              <w:spacing w:before="120" w:after="120"/>
              <w:ind w:right="-105"/>
              <w:jc w:val="center"/>
              <w:rPr>
                <w:szCs w:val="24"/>
              </w:rPr>
            </w:pPr>
            <w:r w:rsidRPr="00602846">
              <w:rPr>
                <w:szCs w:val="24"/>
              </w:rPr>
              <w:t>2</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Planning</w:t>
            </w:r>
          </w:p>
        </w:tc>
        <w:tc>
          <w:tcPr>
            <w:tcW w:w="1677" w:type="dxa"/>
            <w:vAlign w:val="center"/>
          </w:tcPr>
          <w:p w:rsidR="00EB614A" w:rsidRPr="00602846" w:rsidRDefault="00EB614A" w:rsidP="00706527">
            <w:pPr>
              <w:spacing w:before="120" w:after="120"/>
              <w:ind w:right="-105"/>
              <w:jc w:val="center"/>
              <w:rPr>
                <w:szCs w:val="24"/>
              </w:rPr>
            </w:pPr>
            <w:r w:rsidRPr="00602846">
              <w:rPr>
                <w:szCs w:val="24"/>
              </w:rPr>
              <w:t>1</w:t>
            </w:r>
          </w:p>
        </w:tc>
        <w:tc>
          <w:tcPr>
            <w:tcW w:w="1578" w:type="dxa"/>
            <w:vAlign w:val="center"/>
          </w:tcPr>
          <w:p w:rsidR="00EB614A" w:rsidRPr="00602846" w:rsidRDefault="00EB614A" w:rsidP="00706527">
            <w:pPr>
              <w:spacing w:before="120" w:after="120"/>
              <w:ind w:right="-105"/>
              <w:jc w:val="center"/>
              <w:rPr>
                <w:szCs w:val="24"/>
              </w:rPr>
            </w:pPr>
            <w:r w:rsidRPr="00602846">
              <w:rPr>
                <w:szCs w:val="24"/>
              </w:rPr>
              <w:t>11</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Subpoena</w:t>
            </w:r>
            <w:r w:rsidR="003C5121">
              <w:rPr>
                <w:szCs w:val="24"/>
              </w:rPr>
              <w:t>s</w:t>
            </w:r>
          </w:p>
        </w:tc>
        <w:tc>
          <w:tcPr>
            <w:tcW w:w="1677" w:type="dxa"/>
            <w:vAlign w:val="center"/>
          </w:tcPr>
          <w:p w:rsidR="00EB614A" w:rsidRPr="00602846" w:rsidRDefault="00EB614A" w:rsidP="00706527">
            <w:pPr>
              <w:spacing w:before="120" w:after="120"/>
              <w:ind w:right="-105"/>
              <w:jc w:val="center"/>
              <w:rPr>
                <w:szCs w:val="24"/>
              </w:rPr>
            </w:pPr>
            <w:r w:rsidRPr="00602846">
              <w:rPr>
                <w:szCs w:val="24"/>
              </w:rPr>
              <w:t>5</w:t>
            </w:r>
          </w:p>
        </w:tc>
        <w:tc>
          <w:tcPr>
            <w:tcW w:w="1578" w:type="dxa"/>
            <w:vAlign w:val="center"/>
          </w:tcPr>
          <w:p w:rsidR="00EB614A" w:rsidRPr="00602846" w:rsidRDefault="00EB614A" w:rsidP="00706527">
            <w:pPr>
              <w:spacing w:before="120" w:after="120"/>
              <w:ind w:right="-105"/>
              <w:jc w:val="center"/>
              <w:rPr>
                <w:szCs w:val="24"/>
              </w:rPr>
            </w:pPr>
            <w:r w:rsidRPr="00602846">
              <w:rPr>
                <w:szCs w:val="24"/>
              </w:rPr>
              <w:t>9</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Tenancy</w:t>
            </w:r>
          </w:p>
        </w:tc>
        <w:tc>
          <w:tcPr>
            <w:tcW w:w="1677" w:type="dxa"/>
            <w:vAlign w:val="center"/>
          </w:tcPr>
          <w:p w:rsidR="00EB614A" w:rsidRPr="00602846" w:rsidRDefault="00EB614A" w:rsidP="00706527">
            <w:pPr>
              <w:spacing w:before="120" w:after="120"/>
              <w:ind w:right="-105"/>
              <w:jc w:val="center"/>
              <w:rPr>
                <w:szCs w:val="24"/>
              </w:rPr>
            </w:pPr>
            <w:r w:rsidRPr="00602846">
              <w:rPr>
                <w:szCs w:val="24"/>
              </w:rPr>
              <w:t>9</w:t>
            </w:r>
          </w:p>
        </w:tc>
        <w:tc>
          <w:tcPr>
            <w:tcW w:w="1578" w:type="dxa"/>
            <w:vAlign w:val="center"/>
          </w:tcPr>
          <w:p w:rsidR="00EB614A" w:rsidRPr="00602846" w:rsidRDefault="00EB614A" w:rsidP="00706527">
            <w:pPr>
              <w:spacing w:before="120" w:after="120"/>
              <w:ind w:right="-105"/>
              <w:jc w:val="center"/>
              <w:rPr>
                <w:b/>
                <w:bCs/>
                <w:szCs w:val="24"/>
              </w:rPr>
            </w:pPr>
            <w:r w:rsidRPr="00602846">
              <w:rPr>
                <w:b/>
                <w:bCs/>
                <w:szCs w:val="24"/>
              </w:rPr>
              <w:t>7</w:t>
            </w:r>
          </w:p>
        </w:tc>
      </w:tr>
      <w:tr w:rsidR="00EB614A" w:rsidRPr="00C07D46" w:rsidTr="00706527">
        <w:trPr>
          <w:trHeight w:val="340"/>
          <w:jc w:val="center"/>
        </w:trPr>
        <w:tc>
          <w:tcPr>
            <w:tcW w:w="5521" w:type="dxa"/>
            <w:vAlign w:val="center"/>
          </w:tcPr>
          <w:p w:rsidR="00EB614A" w:rsidRPr="00602846" w:rsidRDefault="00EB614A" w:rsidP="00706527">
            <w:pPr>
              <w:spacing w:before="120" w:after="120"/>
              <w:rPr>
                <w:szCs w:val="24"/>
              </w:rPr>
            </w:pPr>
            <w:r w:rsidRPr="00602846">
              <w:rPr>
                <w:szCs w:val="24"/>
              </w:rPr>
              <w:t>Workers Compensation</w:t>
            </w:r>
          </w:p>
        </w:tc>
        <w:tc>
          <w:tcPr>
            <w:tcW w:w="1677" w:type="dxa"/>
            <w:vAlign w:val="center"/>
          </w:tcPr>
          <w:p w:rsidR="00EB614A" w:rsidRPr="00602846" w:rsidRDefault="00137E30" w:rsidP="00706527">
            <w:pPr>
              <w:spacing w:before="120" w:after="120"/>
              <w:ind w:right="-105"/>
              <w:jc w:val="center"/>
              <w:rPr>
                <w:szCs w:val="24"/>
              </w:rPr>
            </w:pPr>
            <w:r>
              <w:rPr>
                <w:szCs w:val="24"/>
              </w:rPr>
              <w:t>461</w:t>
            </w:r>
          </w:p>
        </w:tc>
        <w:tc>
          <w:tcPr>
            <w:tcW w:w="1578" w:type="dxa"/>
            <w:vAlign w:val="center"/>
          </w:tcPr>
          <w:p w:rsidR="00EB614A" w:rsidRPr="00602846" w:rsidRDefault="00137E30" w:rsidP="00706527">
            <w:pPr>
              <w:spacing w:before="120" w:after="120"/>
              <w:ind w:right="-105"/>
              <w:jc w:val="center"/>
              <w:rPr>
                <w:szCs w:val="24"/>
              </w:rPr>
            </w:pPr>
            <w:r>
              <w:rPr>
                <w:szCs w:val="24"/>
              </w:rPr>
              <w:t>384</w:t>
            </w:r>
          </w:p>
        </w:tc>
      </w:tr>
      <w:tr w:rsidR="00EB614A" w:rsidRPr="00C07D46" w:rsidTr="00706527">
        <w:trPr>
          <w:trHeight w:val="340"/>
          <w:jc w:val="center"/>
        </w:trPr>
        <w:tc>
          <w:tcPr>
            <w:tcW w:w="5521" w:type="dxa"/>
            <w:vAlign w:val="center"/>
          </w:tcPr>
          <w:p w:rsidR="00EB614A" w:rsidRPr="00C07D46" w:rsidRDefault="00EB614A" w:rsidP="00706527">
            <w:pPr>
              <w:spacing w:before="120" w:after="120"/>
              <w:rPr>
                <w:b/>
                <w:bCs/>
                <w:szCs w:val="24"/>
              </w:rPr>
            </w:pPr>
            <w:r w:rsidRPr="00C07D46">
              <w:rPr>
                <w:b/>
                <w:bCs/>
                <w:szCs w:val="24"/>
              </w:rPr>
              <w:t>Total</w:t>
            </w:r>
          </w:p>
        </w:tc>
        <w:tc>
          <w:tcPr>
            <w:tcW w:w="1677" w:type="dxa"/>
            <w:vAlign w:val="center"/>
          </w:tcPr>
          <w:p w:rsidR="00EB614A" w:rsidRPr="00C07D46" w:rsidRDefault="00EB614A" w:rsidP="00706527">
            <w:pPr>
              <w:spacing w:before="120" w:after="120"/>
              <w:ind w:right="-105"/>
              <w:jc w:val="center"/>
              <w:rPr>
                <w:b/>
                <w:bCs/>
                <w:szCs w:val="24"/>
              </w:rPr>
            </w:pPr>
            <w:r>
              <w:rPr>
                <w:b/>
                <w:bCs/>
                <w:szCs w:val="24"/>
              </w:rPr>
              <w:t>84</w:t>
            </w:r>
            <w:r w:rsidR="00364826">
              <w:rPr>
                <w:b/>
                <w:bCs/>
                <w:szCs w:val="24"/>
              </w:rPr>
              <w:t>9</w:t>
            </w:r>
          </w:p>
        </w:tc>
        <w:tc>
          <w:tcPr>
            <w:tcW w:w="1578" w:type="dxa"/>
            <w:vAlign w:val="center"/>
          </w:tcPr>
          <w:p w:rsidR="00EB614A" w:rsidRPr="00C07D46" w:rsidRDefault="00EB614A" w:rsidP="00706527">
            <w:pPr>
              <w:spacing w:before="120" w:after="120"/>
              <w:ind w:right="-105"/>
              <w:jc w:val="center"/>
              <w:rPr>
                <w:b/>
                <w:bCs/>
                <w:szCs w:val="24"/>
              </w:rPr>
            </w:pPr>
            <w:r>
              <w:rPr>
                <w:b/>
                <w:bCs/>
                <w:szCs w:val="24"/>
              </w:rPr>
              <w:t>803</w:t>
            </w:r>
          </w:p>
        </w:tc>
      </w:tr>
    </w:tbl>
    <w:p w:rsidR="00EB614A" w:rsidRDefault="00EB614A" w:rsidP="00EB614A"/>
    <w:p w:rsidR="00EB614A" w:rsidRDefault="00EB614A" w:rsidP="00EB614A">
      <w:pPr>
        <w:overflowPunct/>
        <w:autoSpaceDE/>
        <w:autoSpaceDN/>
        <w:adjustRightInd/>
        <w:textAlignment w:val="auto"/>
      </w:pPr>
    </w:p>
    <w:p w:rsidR="00EB614A" w:rsidRDefault="00EB614A" w:rsidP="00EB614A"/>
    <w:p w:rsidR="00EB614A" w:rsidRDefault="00EB614A" w:rsidP="00F91BFE">
      <w:pPr>
        <w:tabs>
          <w:tab w:val="left" w:pos="720"/>
          <w:tab w:val="center" w:pos="4153"/>
          <w:tab w:val="right" w:pos="8306"/>
        </w:tabs>
        <w:jc w:val="center"/>
        <w:rPr>
          <w:b/>
          <w:szCs w:val="24"/>
        </w:rPr>
      </w:pPr>
    </w:p>
    <w:p w:rsidR="00071DCA" w:rsidRDefault="00071DCA" w:rsidP="00473905">
      <w:pPr>
        <w:jc w:val="center"/>
        <w:rPr>
          <w:b/>
          <w:szCs w:val="24"/>
        </w:rPr>
      </w:pPr>
      <w:r>
        <w:rPr>
          <w:b/>
          <w:szCs w:val="24"/>
        </w:rPr>
        <w:lastRenderedPageBreak/>
        <w:t xml:space="preserve">Schedule </w:t>
      </w:r>
      <w:r w:rsidR="00EB614A">
        <w:rPr>
          <w:b/>
          <w:szCs w:val="24"/>
        </w:rPr>
        <w:t>3</w:t>
      </w:r>
    </w:p>
    <w:p w:rsidR="00071DCA" w:rsidRDefault="00071DCA" w:rsidP="00473905">
      <w:pPr>
        <w:jc w:val="center"/>
        <w:rPr>
          <w:b/>
          <w:szCs w:val="24"/>
        </w:rPr>
      </w:pPr>
    </w:p>
    <w:p w:rsidR="00473905" w:rsidRPr="00C07D46" w:rsidRDefault="00473905" w:rsidP="00473905">
      <w:pPr>
        <w:jc w:val="center"/>
        <w:rPr>
          <w:b/>
          <w:szCs w:val="24"/>
        </w:rPr>
      </w:pPr>
      <w:r w:rsidRPr="00C07D46">
        <w:rPr>
          <w:b/>
          <w:szCs w:val="24"/>
        </w:rPr>
        <w:t>SOLICITORS-</w:t>
      </w:r>
      <w:r w:rsidRPr="00C07D46">
        <w:rPr>
          <w:b/>
          <w:bCs/>
          <w:szCs w:val="24"/>
        </w:rPr>
        <w:t>GENERAL</w:t>
      </w:r>
      <w:r w:rsidRPr="00C07D46">
        <w:rPr>
          <w:b/>
          <w:szCs w:val="24"/>
        </w:rPr>
        <w:t xml:space="preserve"> OF</w:t>
      </w:r>
    </w:p>
    <w:p w:rsidR="003F2B76" w:rsidRPr="00C07D46" w:rsidRDefault="00473905" w:rsidP="003F2B76">
      <w:pPr>
        <w:spacing w:after="120"/>
        <w:jc w:val="center"/>
        <w:rPr>
          <w:b/>
          <w:bCs/>
          <w:szCs w:val="24"/>
        </w:rPr>
      </w:pPr>
      <w:r w:rsidRPr="00C07D46">
        <w:rPr>
          <w:b/>
          <w:bCs/>
          <w:szCs w:val="24"/>
        </w:rPr>
        <w:t>VAN DIEMEN’S LAND and TASMANIA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701"/>
        <w:gridCol w:w="5529"/>
      </w:tblGrid>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9 May1825</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5 May 1832</w:t>
            </w:r>
          </w:p>
        </w:tc>
        <w:tc>
          <w:tcPr>
            <w:tcW w:w="5529" w:type="dxa"/>
          </w:tcPr>
          <w:p w:rsidR="00473905" w:rsidRPr="00C07D46" w:rsidRDefault="00473905" w:rsidP="009F087D">
            <w:pPr>
              <w:tabs>
                <w:tab w:val="left" w:pos="175"/>
              </w:tabs>
              <w:spacing w:beforeLines="20" w:before="48" w:afterLines="20" w:after="48"/>
              <w:ind w:right="-828"/>
              <w:rPr>
                <w:szCs w:val="24"/>
              </w:rPr>
            </w:pPr>
            <w:r w:rsidRPr="00C07D46">
              <w:rPr>
                <w:szCs w:val="24"/>
              </w:rPr>
              <w:tab/>
              <w:t>Alfred Stephen</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1832</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1833</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Hugh Cokeley Ross (acting)</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Jan 1833</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Sep 1837</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Edward McDowell</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23 Mar 1838</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1841</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Herbert C Jones</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15 Jan 1841</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Dec 1843</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Thomas William Horne</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Jan 1844</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1848</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Valentine Fleming KC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1848</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Dec 1853</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Alban Charles Stonor</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1854</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1854</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Francis Villeneuve Smith</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1854</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1855</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Edward McDowell (acting)</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19 Dec 1855</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Feb 1857</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John Warrington Rogers</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25 Apr 1857</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 Nov 1860</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Thomas James Knight</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 Nov 1860</w:t>
            </w:r>
          </w:p>
        </w:tc>
        <w:tc>
          <w:tcPr>
            <w:tcW w:w="1701" w:type="dxa"/>
          </w:tcPr>
          <w:p w:rsidR="00473905" w:rsidRPr="00C07D46" w:rsidRDefault="00473905" w:rsidP="000170DD">
            <w:pPr>
              <w:spacing w:beforeLines="20" w:before="48" w:afterLines="20" w:after="48"/>
              <w:ind w:right="57"/>
              <w:jc w:val="right"/>
              <w:rPr>
                <w:szCs w:val="24"/>
              </w:rPr>
            </w:pPr>
            <w:r w:rsidRPr="00C07D46">
              <w:rPr>
                <w:szCs w:val="24"/>
              </w:rPr>
              <w:t>Feb 1861</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William Lambert Dobson</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 xml:space="preserve"> 1 Jan 1864</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1867</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John Compton Gregson</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Dec 1867</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14 Mar 1887</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Robert Patten Adams</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Jun 1887</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Apr 1901</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Hon. Alfred Dobson KC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Apr 1902</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 Sep 1913</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Edward David Dobbie KC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1914</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1930</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Lloyd Eld Chambers KC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Sep 1930</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Aug 1938</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Philip Lewis Griffiths KC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1939</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17 Oct 1944</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Rudyard Noel Kipling Beedham KC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18 Oct 1944</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13 Mar 1946</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Marcus George Gibson KC (acting)</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14 Mar 1946</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 May 1951</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Marcus George Gibson KC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14 Jun 1951</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 xml:space="preserve">21 Mar 1952 </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Malcolm Peter Crisp KC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26 May 1952</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 Sep 1956</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Stanley Charles Burbury QC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27 Sep 1956</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27 Feb 1968</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David Montagu Chambers QC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6 May 1968</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 Mar 1984</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Roger Christie Jennings QC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2 Mar 1984</w:t>
            </w:r>
          </w:p>
        </w:tc>
        <w:tc>
          <w:tcPr>
            <w:tcW w:w="1701" w:type="dxa"/>
          </w:tcPr>
          <w:p w:rsidR="00473905" w:rsidRPr="00C07D46" w:rsidRDefault="00473905" w:rsidP="00AA7A48">
            <w:pPr>
              <w:spacing w:beforeLines="20" w:before="48" w:afterLines="20" w:after="48"/>
              <w:ind w:right="57"/>
              <w:jc w:val="right"/>
              <w:rPr>
                <w:caps/>
                <w:szCs w:val="24"/>
              </w:rPr>
            </w:pPr>
            <w:r w:rsidRPr="00C07D46">
              <w:rPr>
                <w:szCs w:val="24"/>
              </w:rPr>
              <w:t xml:space="preserve">10 Apr </w:t>
            </w:r>
            <w:r w:rsidRPr="00C07D46">
              <w:rPr>
                <w:caps/>
                <w:szCs w:val="24"/>
              </w:rPr>
              <w:t>1986</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Christopher Reginald Wright QC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11 Apr 1986</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3 Aug 2007</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William Christopher Robin Bale QC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18 Sep 2007</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18 Jan 2008</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Francis Counsel Neasey (acting)</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3 Mar 2008</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16 May 2014</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Geoffrey Leigh Sealy SC</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19 May 2014</w:t>
            </w:r>
          </w:p>
        </w:tc>
        <w:tc>
          <w:tcPr>
            <w:tcW w:w="1701" w:type="dxa"/>
          </w:tcPr>
          <w:p w:rsidR="00473905" w:rsidRPr="00C07D46" w:rsidRDefault="00473905" w:rsidP="00AA7A48">
            <w:pPr>
              <w:spacing w:beforeLines="20" w:before="48" w:afterLines="20" w:after="48"/>
              <w:ind w:right="57"/>
              <w:jc w:val="right"/>
              <w:rPr>
                <w:szCs w:val="24"/>
              </w:rPr>
            </w:pPr>
            <w:r w:rsidRPr="00C07D46">
              <w:rPr>
                <w:szCs w:val="24"/>
              </w:rPr>
              <w:t>31 Aug 2014</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Francis Counsel Neasey (acting)</w:t>
            </w:r>
          </w:p>
        </w:tc>
      </w:tr>
      <w:tr w:rsidR="00473905" w:rsidRPr="00C07D46" w:rsidTr="00207FB0">
        <w:tc>
          <w:tcPr>
            <w:tcW w:w="1696" w:type="dxa"/>
          </w:tcPr>
          <w:p w:rsidR="00473905" w:rsidRPr="00C07D46" w:rsidRDefault="00473905" w:rsidP="00AA7A48">
            <w:pPr>
              <w:spacing w:beforeLines="20" w:before="48" w:afterLines="20" w:after="48"/>
              <w:ind w:right="57"/>
              <w:jc w:val="right"/>
              <w:rPr>
                <w:szCs w:val="24"/>
              </w:rPr>
            </w:pPr>
            <w:r w:rsidRPr="00C07D46">
              <w:rPr>
                <w:szCs w:val="24"/>
              </w:rPr>
              <w:t>1 Sep 2014</w:t>
            </w:r>
          </w:p>
        </w:tc>
        <w:tc>
          <w:tcPr>
            <w:tcW w:w="1701" w:type="dxa"/>
          </w:tcPr>
          <w:p w:rsidR="00473905" w:rsidRPr="00C07D46" w:rsidRDefault="002600D4" w:rsidP="00AA7A48">
            <w:pPr>
              <w:spacing w:beforeLines="20" w:before="48" w:afterLines="20" w:after="48"/>
              <w:ind w:right="57"/>
              <w:jc w:val="right"/>
              <w:rPr>
                <w:szCs w:val="24"/>
              </w:rPr>
            </w:pPr>
            <w:r>
              <w:rPr>
                <w:szCs w:val="24"/>
              </w:rPr>
              <w:t>24 Dec 2021</w:t>
            </w:r>
          </w:p>
        </w:tc>
        <w:tc>
          <w:tcPr>
            <w:tcW w:w="5529" w:type="dxa"/>
          </w:tcPr>
          <w:p w:rsidR="00473905" w:rsidRPr="00C07D46" w:rsidRDefault="00473905" w:rsidP="009F087D">
            <w:pPr>
              <w:tabs>
                <w:tab w:val="left" w:pos="175"/>
              </w:tabs>
              <w:spacing w:beforeLines="20" w:before="48" w:afterLines="20" w:after="48"/>
              <w:rPr>
                <w:szCs w:val="24"/>
              </w:rPr>
            </w:pPr>
            <w:r w:rsidRPr="00C07D46">
              <w:rPr>
                <w:szCs w:val="24"/>
              </w:rPr>
              <w:tab/>
              <w:t>Michael Ernest O’Farrell SC</w:t>
            </w:r>
          </w:p>
        </w:tc>
      </w:tr>
      <w:tr w:rsidR="00207FB0" w:rsidRPr="00C07D46" w:rsidTr="00207FB0">
        <w:tc>
          <w:tcPr>
            <w:tcW w:w="1696" w:type="dxa"/>
          </w:tcPr>
          <w:p w:rsidR="00207FB0" w:rsidRPr="00C07D46" w:rsidRDefault="00207FB0" w:rsidP="00AA7A48">
            <w:pPr>
              <w:spacing w:beforeLines="20" w:before="48" w:afterLines="20" w:after="48"/>
              <w:ind w:right="57"/>
              <w:jc w:val="right"/>
              <w:rPr>
                <w:szCs w:val="24"/>
              </w:rPr>
            </w:pPr>
            <w:r>
              <w:rPr>
                <w:szCs w:val="24"/>
              </w:rPr>
              <w:t>25 Dec 2021</w:t>
            </w:r>
          </w:p>
        </w:tc>
        <w:tc>
          <w:tcPr>
            <w:tcW w:w="1701" w:type="dxa"/>
          </w:tcPr>
          <w:p w:rsidR="00207FB0" w:rsidRDefault="00207FB0" w:rsidP="00AA7A48">
            <w:pPr>
              <w:spacing w:beforeLines="20" w:before="48" w:afterLines="20" w:after="48"/>
              <w:ind w:right="57"/>
              <w:jc w:val="right"/>
              <w:rPr>
                <w:szCs w:val="24"/>
              </w:rPr>
            </w:pPr>
          </w:p>
        </w:tc>
        <w:tc>
          <w:tcPr>
            <w:tcW w:w="5529" w:type="dxa"/>
          </w:tcPr>
          <w:p w:rsidR="00207FB0" w:rsidRPr="00C07D46" w:rsidRDefault="00207FB0" w:rsidP="009F087D">
            <w:pPr>
              <w:tabs>
                <w:tab w:val="left" w:pos="175"/>
              </w:tabs>
              <w:spacing w:beforeLines="20" w:before="48" w:afterLines="20" w:after="48"/>
              <w:rPr>
                <w:szCs w:val="24"/>
              </w:rPr>
            </w:pPr>
            <w:r>
              <w:rPr>
                <w:szCs w:val="24"/>
              </w:rPr>
              <w:tab/>
              <w:t>Sarah Kay SC</w:t>
            </w:r>
          </w:p>
        </w:tc>
      </w:tr>
    </w:tbl>
    <w:p w:rsidR="00A05360" w:rsidRPr="00C07D46" w:rsidRDefault="00A05360" w:rsidP="001F5841">
      <w:pPr>
        <w:overflowPunct/>
        <w:autoSpaceDE/>
        <w:autoSpaceDN/>
        <w:adjustRightInd/>
        <w:textAlignment w:val="auto"/>
        <w:rPr>
          <w:szCs w:val="24"/>
        </w:rPr>
      </w:pPr>
    </w:p>
    <w:sectPr w:rsidR="00A05360" w:rsidRPr="00C07D46" w:rsidSect="0079399D">
      <w:headerReference w:type="even" r:id="rId9"/>
      <w:headerReference w:type="default" r:id="rId10"/>
      <w:pgSz w:w="11907" w:h="16840" w:code="9"/>
      <w:pgMar w:top="1440" w:right="1440" w:bottom="1440" w:left="1440" w:header="709" w:footer="34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9B" w:rsidRDefault="002D009B">
      <w:r>
        <w:separator/>
      </w:r>
    </w:p>
    <w:p w:rsidR="002D009B" w:rsidRDefault="002D009B"/>
  </w:endnote>
  <w:endnote w:type="continuationSeparator" w:id="0">
    <w:p w:rsidR="002D009B" w:rsidRDefault="002D009B">
      <w:r>
        <w:continuationSeparator/>
      </w:r>
    </w:p>
    <w:p w:rsidR="002D009B" w:rsidRDefault="002D0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9B" w:rsidRDefault="002D009B">
      <w:r>
        <w:separator/>
      </w:r>
    </w:p>
  </w:footnote>
  <w:footnote w:type="continuationSeparator" w:id="0">
    <w:p w:rsidR="002D009B" w:rsidRDefault="002D009B">
      <w:r>
        <w:continuationSeparator/>
      </w:r>
    </w:p>
  </w:footnote>
  <w:footnote w:id="1">
    <w:p w:rsidR="00FC5AAF" w:rsidRPr="00473905" w:rsidRDefault="00FC5AAF" w:rsidP="00473905">
      <w:pPr>
        <w:pStyle w:val="FootnoteText"/>
        <w:tabs>
          <w:tab w:val="left" w:pos="567"/>
        </w:tabs>
        <w:jc w:val="both"/>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73905">
        <w:t xml:space="preserve">Except for proceedings under the </w:t>
      </w:r>
      <w:r w:rsidRPr="000309EA">
        <w:rPr>
          <w:i/>
        </w:rPr>
        <w:t>Crime (Confiscation of Profits) Act 1993</w:t>
      </w:r>
      <w:r w:rsidRPr="00473905">
        <w:t>.</w:t>
      </w:r>
    </w:p>
  </w:footnote>
  <w:footnote w:id="2">
    <w:p w:rsidR="00595C60" w:rsidRDefault="00595C60">
      <w:pPr>
        <w:pStyle w:val="FootnoteText"/>
      </w:pPr>
      <w:r>
        <w:rPr>
          <w:rStyle w:val="FootnoteReference"/>
        </w:rPr>
        <w:footnoteRef/>
      </w:r>
      <w:r>
        <w:t xml:space="preserve"> </w:t>
      </w:r>
      <w:r>
        <w:tab/>
        <w:t>It is possible that the figures for the preceding period did not include files opened in the WHS Legal Assistance Program. In any event, there has been a substantial rise in the number of new files opened during the reporting period.</w:t>
      </w:r>
    </w:p>
  </w:footnote>
  <w:footnote w:id="3">
    <w:p w:rsidR="00FC5AAF" w:rsidRDefault="00FC5AAF" w:rsidP="00837A06">
      <w:pPr>
        <w:pStyle w:val="FootnoteText"/>
      </w:pPr>
      <w:r>
        <w:rPr>
          <w:rStyle w:val="FootnoteReference"/>
        </w:rPr>
        <w:footnoteRef/>
      </w:r>
      <w:r>
        <w:t xml:space="preserve"> </w:t>
      </w:r>
      <w:r>
        <w:tab/>
      </w:r>
      <w:r w:rsidRPr="00AD05B0">
        <w:t xml:space="preserve">The Royal Commission </w:t>
      </w:r>
      <w:r w:rsidRPr="00C07D46">
        <w:t>into Violence, Abuse, Neglect and Exploitation of People with Disability</w:t>
      </w:r>
      <w:r w:rsidRPr="00AD05B0">
        <w:t xml:space="preserve"> is established concurrently as a Commissi</w:t>
      </w:r>
      <w:r>
        <w:t xml:space="preserve">on of Inquiry under State law by order made under the </w:t>
      </w:r>
      <w:r w:rsidRPr="009A03E8">
        <w:rPr>
          <w:i/>
        </w:rPr>
        <w:t>Commissions of Inquiry Act 1995</w:t>
      </w:r>
      <w:r>
        <w:t>.</w:t>
      </w:r>
    </w:p>
  </w:footnote>
  <w:footnote w:id="4">
    <w:p w:rsidR="00FC5AAF" w:rsidRDefault="00FC5AAF">
      <w:pPr>
        <w:pStyle w:val="FootnoteText"/>
      </w:pPr>
      <w:r>
        <w:rPr>
          <w:rStyle w:val="FootnoteReference"/>
        </w:rPr>
        <w:footnoteRef/>
      </w:r>
      <w:r>
        <w:t xml:space="preserve"> </w:t>
      </w:r>
      <w:r>
        <w:tab/>
        <w:t xml:space="preserve">The Royal Commission into Defence and Veteran Suicide has also been established concurrently as a Commission of Inquiry under the </w:t>
      </w:r>
      <w:r w:rsidRPr="009A03E8">
        <w:rPr>
          <w:i/>
        </w:rPr>
        <w:t>Commissions of Inquiry Act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AF" w:rsidRDefault="00FC5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FC5AAF" w:rsidRDefault="00FC5AAF">
    <w:pPr>
      <w:pStyle w:val="Header"/>
    </w:pPr>
  </w:p>
  <w:p w:rsidR="00FC5AAF" w:rsidRDefault="00FC5A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AF" w:rsidRDefault="00FC5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665">
      <w:rPr>
        <w:rStyle w:val="PageNumber"/>
        <w:noProof/>
      </w:rPr>
      <w:t>10</w:t>
    </w:r>
    <w:r>
      <w:rPr>
        <w:rStyle w:val="PageNumber"/>
      </w:rPr>
      <w:fldChar w:fldCharType="end"/>
    </w:r>
  </w:p>
  <w:p w:rsidR="00FC5AAF" w:rsidRDefault="00FC5AAF">
    <w:pPr>
      <w:pStyle w:val="Footer"/>
      <w:tabs>
        <w:tab w:val="clear" w:pos="4153"/>
        <w:tab w:val="left" w:pos="4253"/>
        <w:tab w:val="right" w:pos="6237"/>
      </w:tabs>
      <w:spacing w:before="200"/>
      <w:ind w:left="317"/>
      <w:rPr>
        <w:smallCaps/>
      </w:rPr>
    </w:pPr>
    <w:r>
      <w:rPr>
        <w:sz w:val="56"/>
      </w:rPr>
      <w:tab/>
    </w:r>
  </w:p>
  <w:p w:rsidR="00FC5AAF" w:rsidRDefault="00FC5A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26"/>
    <w:multiLevelType w:val="hybridMultilevel"/>
    <w:tmpl w:val="C022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800A7"/>
    <w:multiLevelType w:val="hybridMultilevel"/>
    <w:tmpl w:val="8EE2D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AF02DE"/>
    <w:multiLevelType w:val="hybridMultilevel"/>
    <w:tmpl w:val="44D891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A4668"/>
    <w:multiLevelType w:val="hybridMultilevel"/>
    <w:tmpl w:val="81E8052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4" w15:restartNumberingAfterBreak="0">
    <w:nsid w:val="0FF2781F"/>
    <w:multiLevelType w:val="hybridMultilevel"/>
    <w:tmpl w:val="7E8A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709AD"/>
    <w:multiLevelType w:val="hybridMultilevel"/>
    <w:tmpl w:val="A98C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C6BCF"/>
    <w:multiLevelType w:val="hybridMultilevel"/>
    <w:tmpl w:val="6C544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07204B"/>
    <w:multiLevelType w:val="hybridMultilevel"/>
    <w:tmpl w:val="4EBC1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5F6949"/>
    <w:multiLevelType w:val="hybridMultilevel"/>
    <w:tmpl w:val="AC606B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E0112"/>
    <w:multiLevelType w:val="hybridMultilevel"/>
    <w:tmpl w:val="FD56853E"/>
    <w:lvl w:ilvl="0" w:tplc="0776A636">
      <w:numFmt w:val="bullet"/>
      <w:lvlText w:val="•"/>
      <w:lvlJc w:val="left"/>
      <w:pPr>
        <w:ind w:left="1137" w:hanging="570"/>
      </w:pPr>
      <w:rPr>
        <w:rFonts w:ascii="Times New Roman" w:eastAsia="Calibri"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E651E41"/>
    <w:multiLevelType w:val="hybridMultilevel"/>
    <w:tmpl w:val="C3E6FD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F868A5"/>
    <w:multiLevelType w:val="hybridMultilevel"/>
    <w:tmpl w:val="4428FE82"/>
    <w:lvl w:ilvl="0" w:tplc="7C2C072A">
      <w:start w:val="1"/>
      <w:numFmt w:val="lowerLetter"/>
      <w:pStyle w:val="apar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FC53EC"/>
    <w:multiLevelType w:val="multilevel"/>
    <w:tmpl w:val="B36C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B0019"/>
    <w:multiLevelType w:val="hybridMultilevel"/>
    <w:tmpl w:val="8F38C3D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5F07B2A"/>
    <w:multiLevelType w:val="hybridMultilevel"/>
    <w:tmpl w:val="AE94E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167E8E"/>
    <w:multiLevelType w:val="multilevel"/>
    <w:tmpl w:val="4E14C7C2"/>
    <w:lvl w:ilvl="0">
      <w:start w:val="1"/>
      <w:numFmt w:val="decimal"/>
      <w:pStyle w:val="NoSpacing"/>
      <w:lvlText w:val="%1."/>
      <w:lvlJc w:val="left"/>
      <w:pPr>
        <w:ind w:left="648" w:hanging="648"/>
      </w:pPr>
      <w:rPr>
        <w:rFonts w:hint="default"/>
      </w:rPr>
    </w:lvl>
    <w:lvl w:ilvl="1">
      <w:start w:val="1"/>
      <w:numFmt w:val="lowerLetter"/>
      <w:pStyle w:val="Subtitle"/>
      <w:lvlText w:val="(%2)"/>
      <w:lvlJc w:val="left"/>
      <w:pPr>
        <w:ind w:left="1474" w:hanging="826"/>
      </w:pPr>
      <w:rPr>
        <w:rFonts w:hint="default"/>
      </w:rPr>
    </w:lvl>
    <w:lvl w:ilvl="2">
      <w:start w:val="1"/>
      <w:numFmt w:val="lowerRoman"/>
      <w:pStyle w:val="iPara"/>
      <w:lvlText w:val="(%3)"/>
      <w:lvlJc w:val="left"/>
      <w:pPr>
        <w:ind w:left="2098" w:hanging="397"/>
      </w:pPr>
      <w:rPr>
        <w:rFonts w:hint="default"/>
      </w:rPr>
    </w:lvl>
    <w:lvl w:ilvl="3">
      <w:start w:val="1"/>
      <w:numFmt w:val="none"/>
      <w:lvlText w:val="(A)"/>
      <w:lvlJc w:val="left"/>
      <w:pPr>
        <w:ind w:left="2665"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A7427D9"/>
    <w:multiLevelType w:val="hybridMultilevel"/>
    <w:tmpl w:val="B9BC198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3FF97D25"/>
    <w:multiLevelType w:val="hybridMultilevel"/>
    <w:tmpl w:val="72CA2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734212"/>
    <w:multiLevelType w:val="hybridMultilevel"/>
    <w:tmpl w:val="D6C27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E1C13"/>
    <w:multiLevelType w:val="hybridMultilevel"/>
    <w:tmpl w:val="E8D03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0A3A4D"/>
    <w:multiLevelType w:val="hybridMultilevel"/>
    <w:tmpl w:val="9616569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24523B4"/>
    <w:multiLevelType w:val="hybridMultilevel"/>
    <w:tmpl w:val="C44C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3305FA"/>
    <w:multiLevelType w:val="hybridMultilevel"/>
    <w:tmpl w:val="D5EC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0C08B4"/>
    <w:multiLevelType w:val="hybridMultilevel"/>
    <w:tmpl w:val="01601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E3D46FE"/>
    <w:multiLevelType w:val="multilevel"/>
    <w:tmpl w:val="E64EDA02"/>
    <w:lvl w:ilvl="0">
      <w:start w:val="1"/>
      <w:numFmt w:val="decimal"/>
      <w:lvlText w:val="%1."/>
      <w:lvlJc w:val="left"/>
      <w:pPr>
        <w:ind w:left="644" w:hanging="360"/>
      </w:pPr>
    </w:lvl>
    <w:lvl w:ilvl="1">
      <w:start w:val="3"/>
      <w:numFmt w:val="decimalZero"/>
      <w:isLgl/>
      <w:lvlText w:val="%1.%2."/>
      <w:lvlJc w:val="left"/>
      <w:pPr>
        <w:ind w:left="1184" w:hanging="900"/>
      </w:pPr>
      <w:rPr>
        <w:rFonts w:hint="default"/>
      </w:rPr>
    </w:lvl>
    <w:lvl w:ilvl="2">
      <w:start w:val="1"/>
      <w:numFmt w:val="decimal"/>
      <w:isLgl/>
      <w:lvlText w:val="%1.%2.%3."/>
      <w:lvlJc w:val="left"/>
      <w:pPr>
        <w:ind w:left="1184" w:hanging="900"/>
      </w:pPr>
      <w:rPr>
        <w:rFonts w:hint="default"/>
      </w:rPr>
    </w:lvl>
    <w:lvl w:ilvl="3">
      <w:start w:val="1"/>
      <w:numFmt w:val="decimal"/>
      <w:isLgl/>
      <w:lvlText w:val="%1.%2.%3.%4."/>
      <w:lvlJc w:val="left"/>
      <w:pPr>
        <w:ind w:left="1184" w:hanging="90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4FE4167E"/>
    <w:multiLevelType w:val="hybridMultilevel"/>
    <w:tmpl w:val="396E890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26" w15:restartNumberingAfterBreak="0">
    <w:nsid w:val="52781ED2"/>
    <w:multiLevelType w:val="hybridMultilevel"/>
    <w:tmpl w:val="0C96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C429C9"/>
    <w:multiLevelType w:val="hybridMultilevel"/>
    <w:tmpl w:val="6C56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C24154"/>
    <w:multiLevelType w:val="hybridMultilevel"/>
    <w:tmpl w:val="2BD607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B726A6A"/>
    <w:multiLevelType w:val="hybridMultilevel"/>
    <w:tmpl w:val="846459E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DAC69B1"/>
    <w:multiLevelType w:val="hybridMultilevel"/>
    <w:tmpl w:val="F38C0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FCD7DDD"/>
    <w:multiLevelType w:val="hybridMultilevel"/>
    <w:tmpl w:val="C840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8B5769"/>
    <w:multiLevelType w:val="hybridMultilevel"/>
    <w:tmpl w:val="5C0A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355FA"/>
    <w:multiLevelType w:val="hybridMultilevel"/>
    <w:tmpl w:val="22743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4107A27"/>
    <w:multiLevelType w:val="hybridMultilevel"/>
    <w:tmpl w:val="D5688418"/>
    <w:lvl w:ilvl="0" w:tplc="09C2B280">
      <w:start w:val="1"/>
      <w:numFmt w:val="upperLetter"/>
      <w:pStyle w:val="APara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F66E8C"/>
    <w:multiLevelType w:val="hybridMultilevel"/>
    <w:tmpl w:val="BE54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473C2C"/>
    <w:multiLevelType w:val="hybridMultilevel"/>
    <w:tmpl w:val="49ACA170"/>
    <w:lvl w:ilvl="0" w:tplc="C4DA9894">
      <w:start w:val="1"/>
      <w:numFmt w:val="bullet"/>
      <w:pStyle w:val="BulletPara"/>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7765C9"/>
    <w:multiLevelType w:val="hybridMultilevel"/>
    <w:tmpl w:val="30BA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793907"/>
    <w:multiLevelType w:val="hybridMultilevel"/>
    <w:tmpl w:val="1FFC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7E2B95"/>
    <w:multiLevelType w:val="hybridMultilevel"/>
    <w:tmpl w:val="42E23736"/>
    <w:lvl w:ilvl="0" w:tplc="0C090001">
      <w:start w:val="1"/>
      <w:numFmt w:val="bullet"/>
      <w:lvlText w:val=""/>
      <w:lvlJc w:val="left"/>
      <w:pPr>
        <w:ind w:left="1176" w:hanging="360"/>
      </w:pPr>
      <w:rPr>
        <w:rFonts w:ascii="Symbol" w:hAnsi="Symbol" w:hint="default"/>
      </w:rPr>
    </w:lvl>
    <w:lvl w:ilvl="1" w:tplc="0C090003">
      <w:start w:val="1"/>
      <w:numFmt w:val="bullet"/>
      <w:lvlText w:val="o"/>
      <w:lvlJc w:val="left"/>
      <w:pPr>
        <w:ind w:left="1896" w:hanging="360"/>
      </w:pPr>
      <w:rPr>
        <w:rFonts w:ascii="Courier New" w:hAnsi="Courier New" w:cs="Courier New" w:hint="default"/>
      </w:rPr>
    </w:lvl>
    <w:lvl w:ilvl="2" w:tplc="0C090005">
      <w:start w:val="1"/>
      <w:numFmt w:val="bullet"/>
      <w:lvlText w:val=""/>
      <w:lvlJc w:val="left"/>
      <w:pPr>
        <w:ind w:left="2616" w:hanging="360"/>
      </w:pPr>
      <w:rPr>
        <w:rFonts w:ascii="Wingdings" w:hAnsi="Wingdings" w:hint="default"/>
      </w:rPr>
    </w:lvl>
    <w:lvl w:ilvl="3" w:tplc="0C090001">
      <w:start w:val="1"/>
      <w:numFmt w:val="bullet"/>
      <w:lvlText w:val=""/>
      <w:lvlJc w:val="left"/>
      <w:pPr>
        <w:ind w:left="3336" w:hanging="360"/>
      </w:pPr>
      <w:rPr>
        <w:rFonts w:ascii="Symbol" w:hAnsi="Symbol" w:hint="default"/>
      </w:rPr>
    </w:lvl>
    <w:lvl w:ilvl="4" w:tplc="0C090003">
      <w:start w:val="1"/>
      <w:numFmt w:val="bullet"/>
      <w:lvlText w:val="o"/>
      <w:lvlJc w:val="left"/>
      <w:pPr>
        <w:ind w:left="4056" w:hanging="360"/>
      </w:pPr>
      <w:rPr>
        <w:rFonts w:ascii="Courier New" w:hAnsi="Courier New" w:cs="Courier New" w:hint="default"/>
      </w:rPr>
    </w:lvl>
    <w:lvl w:ilvl="5" w:tplc="0C090005">
      <w:start w:val="1"/>
      <w:numFmt w:val="bullet"/>
      <w:lvlText w:val=""/>
      <w:lvlJc w:val="left"/>
      <w:pPr>
        <w:ind w:left="4776" w:hanging="360"/>
      </w:pPr>
      <w:rPr>
        <w:rFonts w:ascii="Wingdings" w:hAnsi="Wingdings" w:hint="default"/>
      </w:rPr>
    </w:lvl>
    <w:lvl w:ilvl="6" w:tplc="0C090001">
      <w:start w:val="1"/>
      <w:numFmt w:val="bullet"/>
      <w:lvlText w:val=""/>
      <w:lvlJc w:val="left"/>
      <w:pPr>
        <w:ind w:left="5496" w:hanging="360"/>
      </w:pPr>
      <w:rPr>
        <w:rFonts w:ascii="Symbol" w:hAnsi="Symbol" w:hint="default"/>
      </w:rPr>
    </w:lvl>
    <w:lvl w:ilvl="7" w:tplc="0C090003">
      <w:start w:val="1"/>
      <w:numFmt w:val="bullet"/>
      <w:lvlText w:val="o"/>
      <w:lvlJc w:val="left"/>
      <w:pPr>
        <w:ind w:left="6216" w:hanging="360"/>
      </w:pPr>
      <w:rPr>
        <w:rFonts w:ascii="Courier New" w:hAnsi="Courier New" w:cs="Courier New" w:hint="default"/>
      </w:rPr>
    </w:lvl>
    <w:lvl w:ilvl="8" w:tplc="0C090005">
      <w:start w:val="1"/>
      <w:numFmt w:val="bullet"/>
      <w:lvlText w:val=""/>
      <w:lvlJc w:val="left"/>
      <w:pPr>
        <w:ind w:left="6936" w:hanging="360"/>
      </w:pPr>
      <w:rPr>
        <w:rFonts w:ascii="Wingdings" w:hAnsi="Wingdings" w:hint="default"/>
      </w:rPr>
    </w:lvl>
  </w:abstractNum>
  <w:abstractNum w:abstractNumId="40" w15:restartNumberingAfterBreak="0">
    <w:nsid w:val="6ECD77A2"/>
    <w:multiLevelType w:val="hybridMultilevel"/>
    <w:tmpl w:val="A9F83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135AF0"/>
    <w:multiLevelType w:val="hybridMultilevel"/>
    <w:tmpl w:val="F1468E4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42" w15:restartNumberingAfterBreak="0">
    <w:nsid w:val="7CE10DDC"/>
    <w:multiLevelType w:val="multilevel"/>
    <w:tmpl w:val="A99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EC2FC4"/>
    <w:multiLevelType w:val="hybridMultilevel"/>
    <w:tmpl w:val="4F3C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9863FE"/>
    <w:multiLevelType w:val="hybridMultilevel"/>
    <w:tmpl w:val="C8D88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 w:ilvl="0">
        <w:start w:val="1"/>
        <w:numFmt w:val="lowerLetter"/>
        <w:pStyle w:val="NoSpacing"/>
        <w:lvlText w:val="(%1)"/>
        <w:lvlJc w:val="left"/>
        <w:pPr>
          <w:ind w:left="1213" w:hanging="646"/>
        </w:pPr>
        <w:rPr>
          <w:rFonts w:ascii="Times New Roman" w:eastAsia="Calibri" w:hAnsi="Times New Roman" w:cs="Times New Roman"/>
        </w:rPr>
      </w:lvl>
    </w:lvlOverride>
    <w:lvlOverride w:ilvl="1">
      <w:lvl w:ilvl="1">
        <w:start w:val="1"/>
        <w:numFmt w:val="lowerLetter"/>
        <w:pStyle w:val="Subtitle"/>
        <w:lvlText w:val="(%2)"/>
        <w:lvlJc w:val="left"/>
        <w:pPr>
          <w:ind w:left="1859" w:hanging="646"/>
        </w:pPr>
        <w:rPr>
          <w:rFonts w:hint="default"/>
        </w:rPr>
      </w:lvl>
    </w:lvlOverride>
    <w:lvlOverride w:ilvl="2">
      <w:lvl w:ilvl="2">
        <w:start w:val="1"/>
        <w:numFmt w:val="none"/>
        <w:pStyle w:val="iPara"/>
        <w:lvlText w:val="(i)"/>
        <w:lvlJc w:val="left"/>
        <w:pPr>
          <w:ind w:left="2505" w:hanging="520"/>
        </w:pPr>
        <w:rPr>
          <w:rFonts w:hint="default"/>
        </w:rPr>
      </w:lvl>
    </w:lvlOverride>
    <w:lvlOverride w:ilvl="3">
      <w:lvl w:ilvl="3">
        <w:start w:val="1"/>
        <w:numFmt w:val="none"/>
        <w:lvlText w:val="(A)"/>
        <w:lvlJc w:val="left"/>
        <w:pPr>
          <w:ind w:left="3151" w:hanging="646"/>
        </w:pPr>
        <w:rPr>
          <w:rFonts w:hint="default"/>
        </w:rPr>
      </w:lvl>
    </w:lvlOverride>
    <w:lvlOverride w:ilvl="4">
      <w:lvl w:ilvl="4">
        <w:start w:val="1"/>
        <w:numFmt w:val="lowerLetter"/>
        <w:lvlText w:val="%5."/>
        <w:lvlJc w:val="left"/>
        <w:pPr>
          <w:ind w:left="3797" w:hanging="646"/>
        </w:pPr>
        <w:rPr>
          <w:rFonts w:hint="default"/>
        </w:rPr>
      </w:lvl>
    </w:lvlOverride>
    <w:lvlOverride w:ilvl="5">
      <w:lvl w:ilvl="5">
        <w:start w:val="1"/>
        <w:numFmt w:val="lowerRoman"/>
        <w:lvlText w:val="%6."/>
        <w:lvlJc w:val="right"/>
        <w:pPr>
          <w:ind w:left="4443" w:hanging="646"/>
        </w:pPr>
        <w:rPr>
          <w:rFonts w:hint="default"/>
        </w:rPr>
      </w:lvl>
    </w:lvlOverride>
    <w:lvlOverride w:ilvl="6">
      <w:lvl w:ilvl="6">
        <w:start w:val="1"/>
        <w:numFmt w:val="decimal"/>
        <w:lvlText w:val="%7."/>
        <w:lvlJc w:val="left"/>
        <w:pPr>
          <w:ind w:left="5089" w:hanging="646"/>
        </w:pPr>
        <w:rPr>
          <w:rFonts w:hint="default"/>
        </w:rPr>
      </w:lvl>
    </w:lvlOverride>
    <w:lvlOverride w:ilvl="7">
      <w:lvl w:ilvl="7">
        <w:start w:val="1"/>
        <w:numFmt w:val="lowerLetter"/>
        <w:lvlText w:val="%8."/>
        <w:lvlJc w:val="left"/>
        <w:pPr>
          <w:ind w:left="5735" w:hanging="646"/>
        </w:pPr>
        <w:rPr>
          <w:rFonts w:hint="default"/>
        </w:rPr>
      </w:lvl>
    </w:lvlOverride>
    <w:lvlOverride w:ilvl="8">
      <w:lvl w:ilvl="8">
        <w:start w:val="1"/>
        <w:numFmt w:val="lowerRoman"/>
        <w:lvlText w:val="%9."/>
        <w:lvlJc w:val="right"/>
        <w:pPr>
          <w:ind w:left="6381" w:hanging="646"/>
        </w:pPr>
        <w:rPr>
          <w:rFonts w:hint="default"/>
        </w:rPr>
      </w:lvl>
    </w:lvlOverride>
  </w:num>
  <w:num w:numId="4">
    <w:abstractNumId w:val="11"/>
  </w:num>
  <w:num w:numId="5">
    <w:abstractNumId w:val="34"/>
  </w:num>
  <w:num w:numId="6">
    <w:abstractNumId w:val="36"/>
  </w:num>
  <w:num w:numId="7">
    <w:abstractNumId w:val="2"/>
  </w:num>
  <w:num w:numId="8">
    <w:abstractNumId w:val="21"/>
  </w:num>
  <w:num w:numId="9">
    <w:abstractNumId w:val="26"/>
  </w:num>
  <w:num w:numId="10">
    <w:abstractNumId w:val="4"/>
  </w:num>
  <w:num w:numId="11">
    <w:abstractNumId w:val="38"/>
  </w:num>
  <w:num w:numId="12">
    <w:abstractNumId w:val="31"/>
  </w:num>
  <w:num w:numId="13">
    <w:abstractNumId w:val="43"/>
  </w:num>
  <w:num w:numId="14">
    <w:abstractNumId w:val="6"/>
  </w:num>
  <w:num w:numId="15">
    <w:abstractNumId w:val="35"/>
  </w:num>
  <w:num w:numId="16">
    <w:abstractNumId w:val="32"/>
  </w:num>
  <w:num w:numId="17">
    <w:abstractNumId w:val="8"/>
  </w:num>
  <w:num w:numId="18">
    <w:abstractNumId w:val="27"/>
  </w:num>
  <w:num w:numId="19">
    <w:abstractNumId w:val="0"/>
  </w:num>
  <w:num w:numId="20">
    <w:abstractNumId w:val="22"/>
  </w:num>
  <w:num w:numId="21">
    <w:abstractNumId w:val="10"/>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37"/>
  </w:num>
  <w:num w:numId="26">
    <w:abstractNumId w:val="3"/>
  </w:num>
  <w:num w:numId="27">
    <w:abstractNumId w:val="7"/>
  </w:num>
  <w:num w:numId="28">
    <w:abstractNumId w:val="25"/>
  </w:num>
  <w:num w:numId="29">
    <w:abstractNumId w:val="41"/>
  </w:num>
  <w:num w:numId="30">
    <w:abstractNumId w:val="30"/>
  </w:num>
  <w:num w:numId="31">
    <w:abstractNumId w:val="33"/>
  </w:num>
  <w:num w:numId="32">
    <w:abstractNumId w:val="44"/>
  </w:num>
  <w:num w:numId="33">
    <w:abstractNumId w:val="14"/>
  </w:num>
  <w:num w:numId="34">
    <w:abstractNumId w:val="1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2"/>
  </w:num>
  <w:num w:numId="38">
    <w:abstractNumId w:val="40"/>
  </w:num>
  <w:num w:numId="39">
    <w:abstractNumId w:val="7"/>
  </w:num>
  <w:num w:numId="40">
    <w:abstractNumId w:val="39"/>
  </w:num>
  <w:num w:numId="41">
    <w:abstractNumId w:val="1"/>
  </w:num>
  <w:num w:numId="42">
    <w:abstractNumId w:val="20"/>
  </w:num>
  <w:num w:numId="43">
    <w:abstractNumId w:val="29"/>
  </w:num>
  <w:num w:numId="44">
    <w:abstractNumId w:val="16"/>
  </w:num>
  <w:num w:numId="45">
    <w:abstractNumId w:val="9"/>
  </w:num>
  <w:num w:numId="46">
    <w:abstractNumId w:val="13"/>
  </w:num>
  <w:num w:numId="47">
    <w:abstractNumId w:val="24"/>
  </w:num>
  <w:num w:numId="48">
    <w:abstractNumId w:val="1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05"/>
    <w:rsid w:val="00000ED5"/>
    <w:rsid w:val="0000160B"/>
    <w:rsid w:val="000037F1"/>
    <w:rsid w:val="00003FDD"/>
    <w:rsid w:val="000170DD"/>
    <w:rsid w:val="00020321"/>
    <w:rsid w:val="00022A8C"/>
    <w:rsid w:val="000309EA"/>
    <w:rsid w:val="00033FE4"/>
    <w:rsid w:val="00035E35"/>
    <w:rsid w:val="0004066E"/>
    <w:rsid w:val="00040B3B"/>
    <w:rsid w:val="00040FAF"/>
    <w:rsid w:val="00041B70"/>
    <w:rsid w:val="00043EA8"/>
    <w:rsid w:val="00044C9B"/>
    <w:rsid w:val="00044DD8"/>
    <w:rsid w:val="000456D0"/>
    <w:rsid w:val="000518E4"/>
    <w:rsid w:val="000520E6"/>
    <w:rsid w:val="00053236"/>
    <w:rsid w:val="0005474C"/>
    <w:rsid w:val="00064D66"/>
    <w:rsid w:val="00065F50"/>
    <w:rsid w:val="000663A4"/>
    <w:rsid w:val="000672CA"/>
    <w:rsid w:val="00071DCA"/>
    <w:rsid w:val="0007430B"/>
    <w:rsid w:val="000807DE"/>
    <w:rsid w:val="00085C49"/>
    <w:rsid w:val="0009434D"/>
    <w:rsid w:val="000958DD"/>
    <w:rsid w:val="000959E7"/>
    <w:rsid w:val="000968AF"/>
    <w:rsid w:val="000A7F02"/>
    <w:rsid w:val="000B1CEA"/>
    <w:rsid w:val="000B2624"/>
    <w:rsid w:val="000B3D53"/>
    <w:rsid w:val="000B6D03"/>
    <w:rsid w:val="000C0C48"/>
    <w:rsid w:val="000C6150"/>
    <w:rsid w:val="000C6665"/>
    <w:rsid w:val="000D1485"/>
    <w:rsid w:val="000D4FFE"/>
    <w:rsid w:val="000D75D8"/>
    <w:rsid w:val="000E050E"/>
    <w:rsid w:val="000E2DB4"/>
    <w:rsid w:val="000F1A85"/>
    <w:rsid w:val="000F4B23"/>
    <w:rsid w:val="000F5822"/>
    <w:rsid w:val="00102EC9"/>
    <w:rsid w:val="0010317D"/>
    <w:rsid w:val="00103F64"/>
    <w:rsid w:val="00104C73"/>
    <w:rsid w:val="00107113"/>
    <w:rsid w:val="00113817"/>
    <w:rsid w:val="00116F3B"/>
    <w:rsid w:val="0012222A"/>
    <w:rsid w:val="0012331C"/>
    <w:rsid w:val="00126518"/>
    <w:rsid w:val="0013639E"/>
    <w:rsid w:val="00137E30"/>
    <w:rsid w:val="001405C5"/>
    <w:rsid w:val="001428BB"/>
    <w:rsid w:val="001443E2"/>
    <w:rsid w:val="00147AE5"/>
    <w:rsid w:val="00153EAB"/>
    <w:rsid w:val="001566D9"/>
    <w:rsid w:val="00156EBE"/>
    <w:rsid w:val="0016248E"/>
    <w:rsid w:val="001656DA"/>
    <w:rsid w:val="00174B15"/>
    <w:rsid w:val="0018016E"/>
    <w:rsid w:val="001822EB"/>
    <w:rsid w:val="00182A77"/>
    <w:rsid w:val="00184BC4"/>
    <w:rsid w:val="00185A11"/>
    <w:rsid w:val="00191AB8"/>
    <w:rsid w:val="001979A5"/>
    <w:rsid w:val="001A3A08"/>
    <w:rsid w:val="001A47FC"/>
    <w:rsid w:val="001A7E5B"/>
    <w:rsid w:val="001B10DC"/>
    <w:rsid w:val="001B75EE"/>
    <w:rsid w:val="001C206A"/>
    <w:rsid w:val="001C254C"/>
    <w:rsid w:val="001C3375"/>
    <w:rsid w:val="001C5CCD"/>
    <w:rsid w:val="001D5F18"/>
    <w:rsid w:val="001D67A1"/>
    <w:rsid w:val="001D7C7E"/>
    <w:rsid w:val="001E1388"/>
    <w:rsid w:val="001E5124"/>
    <w:rsid w:val="001F0B08"/>
    <w:rsid w:val="001F552E"/>
    <w:rsid w:val="001F5841"/>
    <w:rsid w:val="001F70AB"/>
    <w:rsid w:val="002042C5"/>
    <w:rsid w:val="00205395"/>
    <w:rsid w:val="00206CFC"/>
    <w:rsid w:val="00207FB0"/>
    <w:rsid w:val="002177F5"/>
    <w:rsid w:val="00220C88"/>
    <w:rsid w:val="00224926"/>
    <w:rsid w:val="00226EA0"/>
    <w:rsid w:val="0022796B"/>
    <w:rsid w:val="00233C08"/>
    <w:rsid w:val="00234207"/>
    <w:rsid w:val="0023426D"/>
    <w:rsid w:val="00234D07"/>
    <w:rsid w:val="00244FFA"/>
    <w:rsid w:val="00254000"/>
    <w:rsid w:val="00257EA1"/>
    <w:rsid w:val="002600D4"/>
    <w:rsid w:val="0026258A"/>
    <w:rsid w:val="00263A42"/>
    <w:rsid w:val="00272849"/>
    <w:rsid w:val="00274646"/>
    <w:rsid w:val="002764A9"/>
    <w:rsid w:val="00276609"/>
    <w:rsid w:val="002833FB"/>
    <w:rsid w:val="002842C5"/>
    <w:rsid w:val="00286438"/>
    <w:rsid w:val="00286C01"/>
    <w:rsid w:val="00286C04"/>
    <w:rsid w:val="00290188"/>
    <w:rsid w:val="0029301B"/>
    <w:rsid w:val="002A6271"/>
    <w:rsid w:val="002A6A14"/>
    <w:rsid w:val="002B0A95"/>
    <w:rsid w:val="002B641E"/>
    <w:rsid w:val="002B6778"/>
    <w:rsid w:val="002C0806"/>
    <w:rsid w:val="002C1B4E"/>
    <w:rsid w:val="002C33C0"/>
    <w:rsid w:val="002C39B1"/>
    <w:rsid w:val="002D009B"/>
    <w:rsid w:val="002D5530"/>
    <w:rsid w:val="002D6A73"/>
    <w:rsid w:val="002E07FB"/>
    <w:rsid w:val="002E245B"/>
    <w:rsid w:val="002E6882"/>
    <w:rsid w:val="002E7C31"/>
    <w:rsid w:val="002F3F29"/>
    <w:rsid w:val="002F52A8"/>
    <w:rsid w:val="002F642C"/>
    <w:rsid w:val="00301010"/>
    <w:rsid w:val="00301734"/>
    <w:rsid w:val="00312B1F"/>
    <w:rsid w:val="00315224"/>
    <w:rsid w:val="00315A81"/>
    <w:rsid w:val="00317309"/>
    <w:rsid w:val="00322C73"/>
    <w:rsid w:val="00325476"/>
    <w:rsid w:val="003263E4"/>
    <w:rsid w:val="00327CFE"/>
    <w:rsid w:val="00336EAC"/>
    <w:rsid w:val="00337D7F"/>
    <w:rsid w:val="003407C1"/>
    <w:rsid w:val="00342836"/>
    <w:rsid w:val="003464C6"/>
    <w:rsid w:val="00364826"/>
    <w:rsid w:val="00364D20"/>
    <w:rsid w:val="00382C9E"/>
    <w:rsid w:val="00383943"/>
    <w:rsid w:val="00393BBE"/>
    <w:rsid w:val="00397A8C"/>
    <w:rsid w:val="00397F7C"/>
    <w:rsid w:val="00397FB5"/>
    <w:rsid w:val="003A4C08"/>
    <w:rsid w:val="003A58D0"/>
    <w:rsid w:val="003A71BA"/>
    <w:rsid w:val="003B1251"/>
    <w:rsid w:val="003B4122"/>
    <w:rsid w:val="003C5121"/>
    <w:rsid w:val="003C7641"/>
    <w:rsid w:val="003C7BD6"/>
    <w:rsid w:val="003D137B"/>
    <w:rsid w:val="003D4931"/>
    <w:rsid w:val="003D66D2"/>
    <w:rsid w:val="003E2B5E"/>
    <w:rsid w:val="003E2D0B"/>
    <w:rsid w:val="003E77D6"/>
    <w:rsid w:val="003F2B76"/>
    <w:rsid w:val="00400B6F"/>
    <w:rsid w:val="00405D6C"/>
    <w:rsid w:val="004079A8"/>
    <w:rsid w:val="0041695A"/>
    <w:rsid w:val="00417C8A"/>
    <w:rsid w:val="00417E7A"/>
    <w:rsid w:val="00421070"/>
    <w:rsid w:val="004212E9"/>
    <w:rsid w:val="00423E32"/>
    <w:rsid w:val="00425BF8"/>
    <w:rsid w:val="00432464"/>
    <w:rsid w:val="00433E0D"/>
    <w:rsid w:val="00440A3A"/>
    <w:rsid w:val="00441162"/>
    <w:rsid w:val="00452CA3"/>
    <w:rsid w:val="004534AD"/>
    <w:rsid w:val="00453CD6"/>
    <w:rsid w:val="004546D8"/>
    <w:rsid w:val="0045595D"/>
    <w:rsid w:val="0045775C"/>
    <w:rsid w:val="00457CC1"/>
    <w:rsid w:val="004710E5"/>
    <w:rsid w:val="00473905"/>
    <w:rsid w:val="004742E0"/>
    <w:rsid w:val="00480D6C"/>
    <w:rsid w:val="0049598A"/>
    <w:rsid w:val="004A04C0"/>
    <w:rsid w:val="004A0695"/>
    <w:rsid w:val="004A7609"/>
    <w:rsid w:val="004A7B95"/>
    <w:rsid w:val="004B32D5"/>
    <w:rsid w:val="004C33B6"/>
    <w:rsid w:val="004D3FD8"/>
    <w:rsid w:val="004D6E3B"/>
    <w:rsid w:val="004D701B"/>
    <w:rsid w:val="004E672F"/>
    <w:rsid w:val="004F2331"/>
    <w:rsid w:val="004F43E0"/>
    <w:rsid w:val="0050212D"/>
    <w:rsid w:val="00503657"/>
    <w:rsid w:val="005070CB"/>
    <w:rsid w:val="0051102B"/>
    <w:rsid w:val="00515DF2"/>
    <w:rsid w:val="005344F8"/>
    <w:rsid w:val="00534E46"/>
    <w:rsid w:val="0054104F"/>
    <w:rsid w:val="00544168"/>
    <w:rsid w:val="005471C7"/>
    <w:rsid w:val="005626EF"/>
    <w:rsid w:val="005629F3"/>
    <w:rsid w:val="005743EC"/>
    <w:rsid w:val="00575F8C"/>
    <w:rsid w:val="0058218C"/>
    <w:rsid w:val="00583A09"/>
    <w:rsid w:val="00590123"/>
    <w:rsid w:val="00590A84"/>
    <w:rsid w:val="00593FAF"/>
    <w:rsid w:val="00594989"/>
    <w:rsid w:val="00595C60"/>
    <w:rsid w:val="00596729"/>
    <w:rsid w:val="005A078A"/>
    <w:rsid w:val="005A5843"/>
    <w:rsid w:val="005A5D23"/>
    <w:rsid w:val="005B10A2"/>
    <w:rsid w:val="005C485C"/>
    <w:rsid w:val="005C6FC8"/>
    <w:rsid w:val="005D2B80"/>
    <w:rsid w:val="005D2BCE"/>
    <w:rsid w:val="005E20B1"/>
    <w:rsid w:val="005E31DC"/>
    <w:rsid w:val="006047C5"/>
    <w:rsid w:val="00606EC4"/>
    <w:rsid w:val="00607342"/>
    <w:rsid w:val="00614268"/>
    <w:rsid w:val="00615096"/>
    <w:rsid w:val="00615F56"/>
    <w:rsid w:val="006225A2"/>
    <w:rsid w:val="00634582"/>
    <w:rsid w:val="006350E2"/>
    <w:rsid w:val="0063657F"/>
    <w:rsid w:val="00636A52"/>
    <w:rsid w:val="00643DA2"/>
    <w:rsid w:val="00650B63"/>
    <w:rsid w:val="0065202D"/>
    <w:rsid w:val="00655635"/>
    <w:rsid w:val="00665C3A"/>
    <w:rsid w:val="00671F6B"/>
    <w:rsid w:val="00674313"/>
    <w:rsid w:val="00675571"/>
    <w:rsid w:val="0068240A"/>
    <w:rsid w:val="00682FAC"/>
    <w:rsid w:val="00683D36"/>
    <w:rsid w:val="0069094F"/>
    <w:rsid w:val="006963BF"/>
    <w:rsid w:val="006B21C2"/>
    <w:rsid w:val="006B55D3"/>
    <w:rsid w:val="006B5C57"/>
    <w:rsid w:val="006B70B6"/>
    <w:rsid w:val="006C2E60"/>
    <w:rsid w:val="006C56D7"/>
    <w:rsid w:val="006C6482"/>
    <w:rsid w:val="006D3C2A"/>
    <w:rsid w:val="006E01C4"/>
    <w:rsid w:val="006E27DA"/>
    <w:rsid w:val="006E6643"/>
    <w:rsid w:val="006E787A"/>
    <w:rsid w:val="006F0288"/>
    <w:rsid w:val="006F3DD3"/>
    <w:rsid w:val="006F4D1B"/>
    <w:rsid w:val="00705BA2"/>
    <w:rsid w:val="00707EAD"/>
    <w:rsid w:val="00710D8F"/>
    <w:rsid w:val="0071447C"/>
    <w:rsid w:val="00714D00"/>
    <w:rsid w:val="00715219"/>
    <w:rsid w:val="00715A2E"/>
    <w:rsid w:val="00724654"/>
    <w:rsid w:val="007335B5"/>
    <w:rsid w:val="0073706E"/>
    <w:rsid w:val="00745B2B"/>
    <w:rsid w:val="00746375"/>
    <w:rsid w:val="007542A8"/>
    <w:rsid w:val="00762EE5"/>
    <w:rsid w:val="00764053"/>
    <w:rsid w:val="0076604D"/>
    <w:rsid w:val="00766ED7"/>
    <w:rsid w:val="007727EA"/>
    <w:rsid w:val="007806D7"/>
    <w:rsid w:val="00781392"/>
    <w:rsid w:val="00787F0F"/>
    <w:rsid w:val="0079399D"/>
    <w:rsid w:val="00795CAE"/>
    <w:rsid w:val="007A0D72"/>
    <w:rsid w:val="007A3424"/>
    <w:rsid w:val="007B04AB"/>
    <w:rsid w:val="007B0CD1"/>
    <w:rsid w:val="007B414B"/>
    <w:rsid w:val="007B6E8E"/>
    <w:rsid w:val="007B7342"/>
    <w:rsid w:val="007C051E"/>
    <w:rsid w:val="007C593E"/>
    <w:rsid w:val="007C60EC"/>
    <w:rsid w:val="007E0116"/>
    <w:rsid w:val="007E4D27"/>
    <w:rsid w:val="007E4F22"/>
    <w:rsid w:val="007E7316"/>
    <w:rsid w:val="007F1B80"/>
    <w:rsid w:val="007F5242"/>
    <w:rsid w:val="007F6DF7"/>
    <w:rsid w:val="0080774D"/>
    <w:rsid w:val="008166AC"/>
    <w:rsid w:val="00822308"/>
    <w:rsid w:val="008234B1"/>
    <w:rsid w:val="00824903"/>
    <w:rsid w:val="0082696D"/>
    <w:rsid w:val="00832BB0"/>
    <w:rsid w:val="00837A06"/>
    <w:rsid w:val="00840682"/>
    <w:rsid w:val="00842032"/>
    <w:rsid w:val="00842C32"/>
    <w:rsid w:val="00854A10"/>
    <w:rsid w:val="00855FCD"/>
    <w:rsid w:val="00862976"/>
    <w:rsid w:val="0086528A"/>
    <w:rsid w:val="0086791A"/>
    <w:rsid w:val="00874E45"/>
    <w:rsid w:val="0088387D"/>
    <w:rsid w:val="00884C63"/>
    <w:rsid w:val="00890009"/>
    <w:rsid w:val="00892D2C"/>
    <w:rsid w:val="00893632"/>
    <w:rsid w:val="00896507"/>
    <w:rsid w:val="008A29F3"/>
    <w:rsid w:val="008A2E51"/>
    <w:rsid w:val="008B1537"/>
    <w:rsid w:val="008B3389"/>
    <w:rsid w:val="008C09C5"/>
    <w:rsid w:val="008C4061"/>
    <w:rsid w:val="008C7133"/>
    <w:rsid w:val="008D7071"/>
    <w:rsid w:val="008E0852"/>
    <w:rsid w:val="008F0966"/>
    <w:rsid w:val="008F0ACC"/>
    <w:rsid w:val="008F3ED7"/>
    <w:rsid w:val="009000C9"/>
    <w:rsid w:val="00902CAA"/>
    <w:rsid w:val="00914F2E"/>
    <w:rsid w:val="009170ED"/>
    <w:rsid w:val="00923721"/>
    <w:rsid w:val="009253E8"/>
    <w:rsid w:val="00944561"/>
    <w:rsid w:val="00947F16"/>
    <w:rsid w:val="00954CAF"/>
    <w:rsid w:val="00960020"/>
    <w:rsid w:val="00961D38"/>
    <w:rsid w:val="00965543"/>
    <w:rsid w:val="009715B3"/>
    <w:rsid w:val="00982C70"/>
    <w:rsid w:val="00983D71"/>
    <w:rsid w:val="009932B8"/>
    <w:rsid w:val="00994C77"/>
    <w:rsid w:val="00994D25"/>
    <w:rsid w:val="009A03E8"/>
    <w:rsid w:val="009A721F"/>
    <w:rsid w:val="009B14BE"/>
    <w:rsid w:val="009C075D"/>
    <w:rsid w:val="009D1A47"/>
    <w:rsid w:val="009D29E1"/>
    <w:rsid w:val="009D5CEA"/>
    <w:rsid w:val="009F087D"/>
    <w:rsid w:val="009F591D"/>
    <w:rsid w:val="00A008B0"/>
    <w:rsid w:val="00A00E89"/>
    <w:rsid w:val="00A021C7"/>
    <w:rsid w:val="00A05360"/>
    <w:rsid w:val="00A133E9"/>
    <w:rsid w:val="00A20947"/>
    <w:rsid w:val="00A2722D"/>
    <w:rsid w:val="00A36C00"/>
    <w:rsid w:val="00A451FB"/>
    <w:rsid w:val="00A46B01"/>
    <w:rsid w:val="00A5034D"/>
    <w:rsid w:val="00A509F1"/>
    <w:rsid w:val="00A51E19"/>
    <w:rsid w:val="00A52F51"/>
    <w:rsid w:val="00A600AA"/>
    <w:rsid w:val="00A656C7"/>
    <w:rsid w:val="00A71094"/>
    <w:rsid w:val="00A76CBC"/>
    <w:rsid w:val="00A80711"/>
    <w:rsid w:val="00A85894"/>
    <w:rsid w:val="00A8629A"/>
    <w:rsid w:val="00A87C3D"/>
    <w:rsid w:val="00A9088F"/>
    <w:rsid w:val="00AA01C0"/>
    <w:rsid w:val="00AA7247"/>
    <w:rsid w:val="00AA7A48"/>
    <w:rsid w:val="00AC1DC7"/>
    <w:rsid w:val="00AC25A4"/>
    <w:rsid w:val="00AC462A"/>
    <w:rsid w:val="00AC5C9A"/>
    <w:rsid w:val="00AC780B"/>
    <w:rsid w:val="00AC7825"/>
    <w:rsid w:val="00AD3E75"/>
    <w:rsid w:val="00AE3261"/>
    <w:rsid w:val="00AE3A4B"/>
    <w:rsid w:val="00AE4D3E"/>
    <w:rsid w:val="00AF1727"/>
    <w:rsid w:val="00AF29C3"/>
    <w:rsid w:val="00AF5EC1"/>
    <w:rsid w:val="00AF7573"/>
    <w:rsid w:val="00AF7AA8"/>
    <w:rsid w:val="00B0570E"/>
    <w:rsid w:val="00B05755"/>
    <w:rsid w:val="00B131B6"/>
    <w:rsid w:val="00B23922"/>
    <w:rsid w:val="00B26571"/>
    <w:rsid w:val="00B26B09"/>
    <w:rsid w:val="00B2777F"/>
    <w:rsid w:val="00B325FB"/>
    <w:rsid w:val="00B327AA"/>
    <w:rsid w:val="00B33264"/>
    <w:rsid w:val="00B33C0E"/>
    <w:rsid w:val="00B33DF2"/>
    <w:rsid w:val="00B40BD2"/>
    <w:rsid w:val="00B42414"/>
    <w:rsid w:val="00B43C5C"/>
    <w:rsid w:val="00B44FA0"/>
    <w:rsid w:val="00B45C56"/>
    <w:rsid w:val="00B45D73"/>
    <w:rsid w:val="00B47E6E"/>
    <w:rsid w:val="00B50515"/>
    <w:rsid w:val="00B55AE2"/>
    <w:rsid w:val="00B61912"/>
    <w:rsid w:val="00B622A9"/>
    <w:rsid w:val="00B655D8"/>
    <w:rsid w:val="00B70355"/>
    <w:rsid w:val="00B71595"/>
    <w:rsid w:val="00B7404D"/>
    <w:rsid w:val="00B81B32"/>
    <w:rsid w:val="00B82E5C"/>
    <w:rsid w:val="00B83C2E"/>
    <w:rsid w:val="00B83C7B"/>
    <w:rsid w:val="00B92475"/>
    <w:rsid w:val="00B95447"/>
    <w:rsid w:val="00BA1D93"/>
    <w:rsid w:val="00BA4869"/>
    <w:rsid w:val="00BA5EF9"/>
    <w:rsid w:val="00BB59DC"/>
    <w:rsid w:val="00BB5DF5"/>
    <w:rsid w:val="00BC14D6"/>
    <w:rsid w:val="00BE1B45"/>
    <w:rsid w:val="00BE375F"/>
    <w:rsid w:val="00BE43C0"/>
    <w:rsid w:val="00BF207F"/>
    <w:rsid w:val="00BF5C27"/>
    <w:rsid w:val="00C02759"/>
    <w:rsid w:val="00C07D46"/>
    <w:rsid w:val="00C15461"/>
    <w:rsid w:val="00C23A46"/>
    <w:rsid w:val="00C24A7E"/>
    <w:rsid w:val="00C26807"/>
    <w:rsid w:val="00C26D6F"/>
    <w:rsid w:val="00C26E86"/>
    <w:rsid w:val="00C27672"/>
    <w:rsid w:val="00C27B22"/>
    <w:rsid w:val="00C30987"/>
    <w:rsid w:val="00C3179F"/>
    <w:rsid w:val="00C36B7C"/>
    <w:rsid w:val="00C47944"/>
    <w:rsid w:val="00C50D3F"/>
    <w:rsid w:val="00C54746"/>
    <w:rsid w:val="00C55D6D"/>
    <w:rsid w:val="00C65B34"/>
    <w:rsid w:val="00C65DE8"/>
    <w:rsid w:val="00C66A1D"/>
    <w:rsid w:val="00C67B1A"/>
    <w:rsid w:val="00C67D1A"/>
    <w:rsid w:val="00C8010B"/>
    <w:rsid w:val="00C903E7"/>
    <w:rsid w:val="00C937F0"/>
    <w:rsid w:val="00C93F03"/>
    <w:rsid w:val="00C9494A"/>
    <w:rsid w:val="00C94E27"/>
    <w:rsid w:val="00C95F68"/>
    <w:rsid w:val="00CA3890"/>
    <w:rsid w:val="00CA3CEF"/>
    <w:rsid w:val="00CA4EE5"/>
    <w:rsid w:val="00CA5B5E"/>
    <w:rsid w:val="00CB1454"/>
    <w:rsid w:val="00CC016D"/>
    <w:rsid w:val="00CC5EF5"/>
    <w:rsid w:val="00CD5BB2"/>
    <w:rsid w:val="00CD6F5F"/>
    <w:rsid w:val="00CD749D"/>
    <w:rsid w:val="00CE08A0"/>
    <w:rsid w:val="00CE3B88"/>
    <w:rsid w:val="00CE58DF"/>
    <w:rsid w:val="00CF038E"/>
    <w:rsid w:val="00CF0F64"/>
    <w:rsid w:val="00CF58AB"/>
    <w:rsid w:val="00D0781A"/>
    <w:rsid w:val="00D1058F"/>
    <w:rsid w:val="00D12B5F"/>
    <w:rsid w:val="00D152B1"/>
    <w:rsid w:val="00D26BF4"/>
    <w:rsid w:val="00D2766C"/>
    <w:rsid w:val="00D27A59"/>
    <w:rsid w:val="00D37538"/>
    <w:rsid w:val="00D435DE"/>
    <w:rsid w:val="00D46F08"/>
    <w:rsid w:val="00D51357"/>
    <w:rsid w:val="00D57C94"/>
    <w:rsid w:val="00D57E73"/>
    <w:rsid w:val="00D60553"/>
    <w:rsid w:val="00D60920"/>
    <w:rsid w:val="00D67750"/>
    <w:rsid w:val="00D71DC1"/>
    <w:rsid w:val="00D826DA"/>
    <w:rsid w:val="00D82DD7"/>
    <w:rsid w:val="00D978F9"/>
    <w:rsid w:val="00D97D0D"/>
    <w:rsid w:val="00DA1A14"/>
    <w:rsid w:val="00DA4A5B"/>
    <w:rsid w:val="00DA57F7"/>
    <w:rsid w:val="00DB189B"/>
    <w:rsid w:val="00DB486A"/>
    <w:rsid w:val="00DB4994"/>
    <w:rsid w:val="00DB58BA"/>
    <w:rsid w:val="00DC05BF"/>
    <w:rsid w:val="00DC08E2"/>
    <w:rsid w:val="00DC3648"/>
    <w:rsid w:val="00DD1F97"/>
    <w:rsid w:val="00DD32FC"/>
    <w:rsid w:val="00DD4151"/>
    <w:rsid w:val="00DD4BEE"/>
    <w:rsid w:val="00DD4D81"/>
    <w:rsid w:val="00DE1506"/>
    <w:rsid w:val="00DE15A2"/>
    <w:rsid w:val="00DE3596"/>
    <w:rsid w:val="00DE3D39"/>
    <w:rsid w:val="00DE472D"/>
    <w:rsid w:val="00DF4882"/>
    <w:rsid w:val="00DF6D89"/>
    <w:rsid w:val="00DF761E"/>
    <w:rsid w:val="00E0036D"/>
    <w:rsid w:val="00E006B4"/>
    <w:rsid w:val="00E00AB7"/>
    <w:rsid w:val="00E0253A"/>
    <w:rsid w:val="00E03FBC"/>
    <w:rsid w:val="00E113AB"/>
    <w:rsid w:val="00E156A7"/>
    <w:rsid w:val="00E15B90"/>
    <w:rsid w:val="00E26A07"/>
    <w:rsid w:val="00E342EF"/>
    <w:rsid w:val="00E35341"/>
    <w:rsid w:val="00E36AF0"/>
    <w:rsid w:val="00E411A5"/>
    <w:rsid w:val="00E472F7"/>
    <w:rsid w:val="00E648DB"/>
    <w:rsid w:val="00E64D47"/>
    <w:rsid w:val="00E66303"/>
    <w:rsid w:val="00E71082"/>
    <w:rsid w:val="00E75921"/>
    <w:rsid w:val="00E82AF7"/>
    <w:rsid w:val="00E864AE"/>
    <w:rsid w:val="00E91A52"/>
    <w:rsid w:val="00E95035"/>
    <w:rsid w:val="00E96773"/>
    <w:rsid w:val="00EA17C0"/>
    <w:rsid w:val="00EA41A9"/>
    <w:rsid w:val="00EA48E7"/>
    <w:rsid w:val="00EA4E13"/>
    <w:rsid w:val="00EB614A"/>
    <w:rsid w:val="00EB6CC8"/>
    <w:rsid w:val="00EC3BEB"/>
    <w:rsid w:val="00EC4237"/>
    <w:rsid w:val="00ED2028"/>
    <w:rsid w:val="00ED27DD"/>
    <w:rsid w:val="00ED2E51"/>
    <w:rsid w:val="00EE5EFA"/>
    <w:rsid w:val="00EE5F26"/>
    <w:rsid w:val="00EF178B"/>
    <w:rsid w:val="00EF2523"/>
    <w:rsid w:val="00F01673"/>
    <w:rsid w:val="00F109F2"/>
    <w:rsid w:val="00F10F73"/>
    <w:rsid w:val="00F12B58"/>
    <w:rsid w:val="00F12D4F"/>
    <w:rsid w:val="00F14FFA"/>
    <w:rsid w:val="00F171B1"/>
    <w:rsid w:val="00F20639"/>
    <w:rsid w:val="00F24FD0"/>
    <w:rsid w:val="00F24FF7"/>
    <w:rsid w:val="00F251D6"/>
    <w:rsid w:val="00F266DE"/>
    <w:rsid w:val="00F30E30"/>
    <w:rsid w:val="00F33761"/>
    <w:rsid w:val="00F33FA8"/>
    <w:rsid w:val="00F40593"/>
    <w:rsid w:val="00F407C4"/>
    <w:rsid w:val="00F424E1"/>
    <w:rsid w:val="00F44AF1"/>
    <w:rsid w:val="00F47B49"/>
    <w:rsid w:val="00F5121F"/>
    <w:rsid w:val="00F67D33"/>
    <w:rsid w:val="00F70ED0"/>
    <w:rsid w:val="00F7131B"/>
    <w:rsid w:val="00F71E96"/>
    <w:rsid w:val="00F806B1"/>
    <w:rsid w:val="00F80700"/>
    <w:rsid w:val="00F80D94"/>
    <w:rsid w:val="00F82506"/>
    <w:rsid w:val="00F84423"/>
    <w:rsid w:val="00F866C9"/>
    <w:rsid w:val="00F9179D"/>
    <w:rsid w:val="00F91BFE"/>
    <w:rsid w:val="00F95ABD"/>
    <w:rsid w:val="00F95F8B"/>
    <w:rsid w:val="00FA41D2"/>
    <w:rsid w:val="00FA5161"/>
    <w:rsid w:val="00FA63AE"/>
    <w:rsid w:val="00FA7F15"/>
    <w:rsid w:val="00FB642E"/>
    <w:rsid w:val="00FB7A55"/>
    <w:rsid w:val="00FC1525"/>
    <w:rsid w:val="00FC2FB6"/>
    <w:rsid w:val="00FC5A42"/>
    <w:rsid w:val="00FC5AAF"/>
    <w:rsid w:val="00FD1426"/>
    <w:rsid w:val="00FD17CA"/>
    <w:rsid w:val="00FD65B3"/>
    <w:rsid w:val="00FE0DA0"/>
    <w:rsid w:val="00FE0E0E"/>
    <w:rsid w:val="00FE4EB2"/>
    <w:rsid w:val="00FE50FF"/>
    <w:rsid w:val="00FE69F9"/>
    <w:rsid w:val="00FF1CFE"/>
    <w:rsid w:val="00FF5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919C6"/>
  <w15:docId w15:val="{011F0A59-32A0-4193-9035-B5E57FB9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20"/>
    <w:pPr>
      <w:overflowPunct w:val="0"/>
      <w:autoSpaceDE w:val="0"/>
      <w:autoSpaceDN w:val="0"/>
      <w:adjustRightInd w:val="0"/>
      <w:textAlignment w:val="baseline"/>
    </w:pPr>
    <w:rPr>
      <w:sz w:val="24"/>
      <w:lang w:eastAsia="en-US"/>
    </w:rPr>
  </w:style>
  <w:style w:type="paragraph" w:styleId="Heading1">
    <w:name w:val="heading 1"/>
    <w:basedOn w:val="Normal"/>
    <w:next w:val="NoSpacing"/>
    <w:link w:val="Heading1Char"/>
    <w:qFormat/>
    <w:rsid w:val="00947F16"/>
    <w:pPr>
      <w:keepNext/>
      <w:spacing w:before="480" w:after="240"/>
      <w:outlineLvl w:val="0"/>
    </w:pPr>
    <w:rPr>
      <w:b/>
    </w:rPr>
  </w:style>
  <w:style w:type="paragraph" w:styleId="Heading2">
    <w:name w:val="heading 2"/>
    <w:basedOn w:val="Normal"/>
    <w:next w:val="NoSpacing"/>
    <w:link w:val="Heading2Char"/>
    <w:autoRedefine/>
    <w:uiPriority w:val="9"/>
    <w:qFormat/>
    <w:rsid w:val="00947F16"/>
    <w:pPr>
      <w:keepNext/>
      <w:spacing w:before="480" w:after="240"/>
      <w:ind w:left="567"/>
      <w:outlineLvl w:val="1"/>
    </w:pPr>
    <w:rPr>
      <w:b/>
      <w:i/>
    </w:rPr>
  </w:style>
  <w:style w:type="paragraph" w:styleId="Heading3">
    <w:name w:val="heading 3"/>
    <w:basedOn w:val="Normal"/>
    <w:next w:val="NoSpacing"/>
    <w:link w:val="Heading3Char"/>
    <w:uiPriority w:val="9"/>
    <w:qFormat/>
    <w:rsid w:val="00947F16"/>
    <w:pPr>
      <w:keepNext/>
      <w:spacing w:before="480" w:after="240"/>
      <w:ind w:left="567"/>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lockText">
    <w:name w:val="Block Text"/>
    <w:basedOn w:val="Normal"/>
    <w:rsid w:val="00364D20"/>
    <w:pPr>
      <w:ind w:left="-1440" w:right="-1129"/>
    </w:pPr>
  </w:style>
  <w:style w:type="paragraph" w:styleId="BodyText2">
    <w:name w:val="Body Text 2"/>
    <w:basedOn w:val="Normal"/>
    <w:link w:val="BodyText2Char"/>
    <w:rsid w:val="00364D20"/>
    <w:rPr>
      <w:color w:val="FF0000"/>
      <w:sz w:val="18"/>
    </w:rPr>
  </w:style>
  <w:style w:type="paragraph" w:styleId="BalloonText">
    <w:name w:val="Balloon Text"/>
    <w:basedOn w:val="Normal"/>
    <w:link w:val="BalloonTextChar"/>
    <w:uiPriority w:val="99"/>
    <w:semiHidden/>
    <w:rsid w:val="0065202D"/>
    <w:rPr>
      <w:rFonts w:ascii="Tahoma" w:hAnsi="Tahoma" w:cs="Tahoma"/>
      <w:sz w:val="16"/>
      <w:szCs w:val="16"/>
    </w:rPr>
  </w:style>
  <w:style w:type="character" w:customStyle="1" w:styleId="FooterChar">
    <w:name w:val="Footer Char"/>
    <w:link w:val="Footer"/>
    <w:uiPriority w:val="99"/>
    <w:rsid w:val="002A6A14"/>
    <w:rPr>
      <w:lang w:val="en-GB" w:eastAsia="en-US"/>
    </w:rPr>
  </w:style>
  <w:style w:type="paragraph" w:styleId="NoSpacing">
    <w:name w:val="No Spacing"/>
    <w:aliases w:val="1. Para"/>
    <w:basedOn w:val="Normal"/>
    <w:uiPriority w:val="1"/>
    <w:qFormat/>
    <w:rsid w:val="00F95ABD"/>
    <w:pPr>
      <w:numPr>
        <w:numId w:val="1"/>
      </w:numPr>
      <w:overflowPunct/>
      <w:autoSpaceDE/>
      <w:autoSpaceDN/>
      <w:adjustRightInd/>
      <w:spacing w:before="240" w:after="240"/>
      <w:ind w:left="567" w:hanging="567"/>
      <w:jc w:val="both"/>
      <w:textAlignment w:val="auto"/>
    </w:pPr>
    <w:rPr>
      <w:rFonts w:eastAsia="Calibri"/>
      <w:szCs w:val="22"/>
    </w:rPr>
  </w:style>
  <w:style w:type="character" w:customStyle="1" w:styleId="Heading1Char">
    <w:name w:val="Heading 1 Char"/>
    <w:link w:val="Heading1"/>
    <w:rsid w:val="00947F16"/>
    <w:rPr>
      <w:b/>
      <w:sz w:val="24"/>
      <w:lang w:val="en-GB" w:eastAsia="en-US"/>
    </w:rPr>
  </w:style>
  <w:style w:type="character" w:customStyle="1" w:styleId="Heading2Char">
    <w:name w:val="Heading 2 Char"/>
    <w:link w:val="Heading2"/>
    <w:uiPriority w:val="9"/>
    <w:rsid w:val="00947F16"/>
    <w:rPr>
      <w:b/>
      <w:i/>
      <w:sz w:val="24"/>
      <w:lang w:val="en-GB" w:eastAsia="en-US"/>
    </w:rPr>
  </w:style>
  <w:style w:type="character" w:customStyle="1" w:styleId="Heading3Char">
    <w:name w:val="Heading 3 Char"/>
    <w:link w:val="Heading3"/>
    <w:uiPriority w:val="9"/>
    <w:rsid w:val="00947F16"/>
    <w:rPr>
      <w:i/>
      <w:sz w:val="24"/>
      <w:lang w:val="en-GB" w:eastAsia="en-US"/>
    </w:rPr>
  </w:style>
  <w:style w:type="paragraph" w:styleId="FootnoteText">
    <w:name w:val="footnote text"/>
    <w:basedOn w:val="Normal"/>
    <w:link w:val="FootnoteTextChar"/>
    <w:uiPriority w:val="99"/>
    <w:unhideWhenUsed/>
    <w:qFormat/>
    <w:rsid w:val="002C0806"/>
    <w:pPr>
      <w:overflowPunct/>
      <w:autoSpaceDE/>
      <w:autoSpaceDN/>
      <w:adjustRightInd/>
      <w:ind w:left="567" w:hanging="567"/>
      <w:textAlignment w:val="auto"/>
    </w:pPr>
    <w:rPr>
      <w:rFonts w:eastAsia="Calibri"/>
      <w:sz w:val="20"/>
    </w:rPr>
  </w:style>
  <w:style w:type="character" w:customStyle="1" w:styleId="FootnoteTextChar">
    <w:name w:val="Footnote Text Char"/>
    <w:link w:val="FootnoteText"/>
    <w:uiPriority w:val="99"/>
    <w:rsid w:val="002C0806"/>
    <w:rPr>
      <w:rFonts w:eastAsia="Calibri"/>
      <w:lang w:eastAsia="en-US"/>
    </w:rPr>
  </w:style>
  <w:style w:type="character" w:styleId="FootnoteReference">
    <w:name w:val="footnote reference"/>
    <w:uiPriority w:val="99"/>
    <w:unhideWhenUsed/>
    <w:qFormat/>
    <w:rsid w:val="00DA1A14"/>
    <w:rPr>
      <w:vertAlign w:val="superscript"/>
    </w:rPr>
  </w:style>
  <w:style w:type="paragraph" w:styleId="NormalWeb">
    <w:name w:val="Normal (Web)"/>
    <w:basedOn w:val="Normal"/>
    <w:uiPriority w:val="99"/>
    <w:unhideWhenUsed/>
    <w:rsid w:val="002B0A95"/>
    <w:pPr>
      <w:overflowPunct/>
      <w:autoSpaceDE/>
      <w:autoSpaceDN/>
      <w:adjustRightInd/>
      <w:spacing w:before="100" w:beforeAutospacing="1" w:after="100" w:afterAutospacing="1"/>
      <w:textAlignment w:val="auto"/>
    </w:pPr>
    <w:rPr>
      <w:szCs w:val="24"/>
      <w:lang w:eastAsia="en-AU"/>
    </w:rPr>
  </w:style>
  <w:style w:type="character" w:customStyle="1" w:styleId="BodyText2Char">
    <w:name w:val="Body Text 2 Char"/>
    <w:link w:val="BodyText2"/>
    <w:rsid w:val="00364D20"/>
    <w:rPr>
      <w:noProof/>
      <w:color w:val="FF0000"/>
      <w:sz w:val="18"/>
      <w:lang w:eastAsia="en-US"/>
    </w:rPr>
  </w:style>
  <w:style w:type="paragraph" w:styleId="Quote">
    <w:name w:val="Quote"/>
    <w:basedOn w:val="NoSpacing"/>
    <w:link w:val="QuoteChar"/>
    <w:uiPriority w:val="29"/>
    <w:qFormat/>
    <w:rsid w:val="00383943"/>
    <w:pPr>
      <w:numPr>
        <w:numId w:val="0"/>
      </w:numPr>
      <w:ind w:left="1134" w:right="567"/>
    </w:pPr>
    <w:rPr>
      <w:sz w:val="22"/>
    </w:rPr>
  </w:style>
  <w:style w:type="character" w:customStyle="1" w:styleId="QuoteChar">
    <w:name w:val="Quote Char"/>
    <w:link w:val="Quote"/>
    <w:uiPriority w:val="29"/>
    <w:rsid w:val="00383943"/>
    <w:rPr>
      <w:rFonts w:eastAsia="Calibri"/>
      <w:sz w:val="22"/>
      <w:szCs w:val="22"/>
      <w:lang w:eastAsia="en-US"/>
    </w:rPr>
  </w:style>
  <w:style w:type="character" w:styleId="SubtleReference">
    <w:name w:val="Subtle Reference"/>
    <w:uiPriority w:val="31"/>
    <w:rsid w:val="00CC016D"/>
    <w:rPr>
      <w:bCs/>
      <w:sz w:val="22"/>
      <w:szCs w:val="22"/>
      <w:lang w:val="en-AU" w:eastAsia="en-AU"/>
    </w:rPr>
  </w:style>
  <w:style w:type="paragraph" w:styleId="Title">
    <w:name w:val="Title"/>
    <w:basedOn w:val="Heading1"/>
    <w:next w:val="Normal"/>
    <w:link w:val="TitleChar"/>
    <w:qFormat/>
    <w:rsid w:val="00947F16"/>
    <w:pPr>
      <w:spacing w:before="240"/>
      <w:jc w:val="center"/>
    </w:pPr>
  </w:style>
  <w:style w:type="character" w:customStyle="1" w:styleId="TitleChar">
    <w:name w:val="Title Char"/>
    <w:link w:val="Title"/>
    <w:rsid w:val="00947F16"/>
    <w:rPr>
      <w:b/>
      <w:sz w:val="24"/>
      <w:lang w:val="en-GB" w:eastAsia="en-US"/>
    </w:rPr>
  </w:style>
  <w:style w:type="character" w:styleId="Emphasis">
    <w:name w:val="Emphasis"/>
    <w:rsid w:val="00364D20"/>
    <w:rPr>
      <w:rFonts w:ascii="Times New Roman" w:hAnsi="Times New Roman"/>
    </w:rPr>
  </w:style>
  <w:style w:type="paragraph" w:styleId="Subtitle">
    <w:name w:val="Subtitle"/>
    <w:aliases w:val="(a) Para"/>
    <w:basedOn w:val="NoSpacing"/>
    <w:next w:val="Normal"/>
    <w:link w:val="SubtitleChar"/>
    <w:rsid w:val="00BB5DF5"/>
    <w:pPr>
      <w:numPr>
        <w:ilvl w:val="1"/>
        <w:numId w:val="3"/>
      </w:numPr>
      <w:ind w:left="1134" w:hanging="567"/>
    </w:pPr>
  </w:style>
  <w:style w:type="character" w:customStyle="1" w:styleId="SubtitleChar">
    <w:name w:val="Subtitle Char"/>
    <w:aliases w:val="(a) Para Char"/>
    <w:link w:val="Subtitle"/>
    <w:rsid w:val="00BB5DF5"/>
    <w:rPr>
      <w:rFonts w:eastAsia="Calibri"/>
      <w:sz w:val="24"/>
      <w:szCs w:val="22"/>
      <w:lang w:eastAsia="en-US"/>
    </w:rPr>
  </w:style>
  <w:style w:type="character" w:styleId="Strong">
    <w:name w:val="Strong"/>
    <w:rsid w:val="00BB5DF5"/>
  </w:style>
  <w:style w:type="character" w:styleId="IntenseEmphasis">
    <w:name w:val="Intense Emphasis"/>
    <w:uiPriority w:val="21"/>
    <w:rsid w:val="00BB5DF5"/>
  </w:style>
  <w:style w:type="paragraph" w:styleId="ListParagraph">
    <w:name w:val="List Paragraph"/>
    <w:basedOn w:val="Normal"/>
    <w:uiPriority w:val="34"/>
    <w:qFormat/>
    <w:rsid w:val="00FD17CA"/>
    <w:pPr>
      <w:ind w:left="720"/>
      <w:contextualSpacing/>
    </w:pPr>
  </w:style>
  <w:style w:type="paragraph" w:customStyle="1" w:styleId="apara">
    <w:name w:val="(a) para"/>
    <w:basedOn w:val="ListParagraph"/>
    <w:qFormat/>
    <w:rsid w:val="00364D20"/>
    <w:pPr>
      <w:numPr>
        <w:numId w:val="4"/>
      </w:numPr>
      <w:spacing w:before="120" w:after="240"/>
      <w:ind w:left="1134" w:hanging="567"/>
      <w:contextualSpacing w:val="0"/>
      <w:jc w:val="both"/>
    </w:pPr>
  </w:style>
  <w:style w:type="paragraph" w:customStyle="1" w:styleId="iPara">
    <w:name w:val="(i) Para"/>
    <w:basedOn w:val="NoSpacing"/>
    <w:qFormat/>
    <w:rsid w:val="00364D20"/>
    <w:pPr>
      <w:numPr>
        <w:ilvl w:val="2"/>
      </w:numPr>
      <w:ind w:left="1701" w:hanging="567"/>
    </w:pPr>
  </w:style>
  <w:style w:type="paragraph" w:customStyle="1" w:styleId="APara0">
    <w:name w:val="(A) Para"/>
    <w:basedOn w:val="ListParagraph"/>
    <w:qFormat/>
    <w:rsid w:val="00364D20"/>
    <w:pPr>
      <w:numPr>
        <w:numId w:val="5"/>
      </w:numPr>
      <w:spacing w:before="120" w:after="240"/>
      <w:ind w:left="2268" w:hanging="567"/>
      <w:jc w:val="both"/>
    </w:pPr>
  </w:style>
  <w:style w:type="paragraph" w:customStyle="1" w:styleId="Legislation">
    <w:name w:val="Legislation"/>
    <w:basedOn w:val="NoSpacing"/>
    <w:qFormat/>
    <w:rsid w:val="00364D20"/>
    <w:pPr>
      <w:numPr>
        <w:numId w:val="0"/>
      </w:numPr>
      <w:spacing w:before="0" w:after="120"/>
      <w:ind w:left="1134" w:right="567"/>
    </w:pPr>
    <w:rPr>
      <w:sz w:val="22"/>
    </w:rPr>
  </w:style>
  <w:style w:type="paragraph" w:customStyle="1" w:styleId="ParaPlain">
    <w:name w:val="Para (Plain)"/>
    <w:basedOn w:val="NoSpacing"/>
    <w:qFormat/>
    <w:rsid w:val="003E2D0B"/>
    <w:pPr>
      <w:numPr>
        <w:numId w:val="0"/>
      </w:numPr>
    </w:pPr>
    <w:rPr>
      <w:lang w:val="en-GB"/>
    </w:rPr>
  </w:style>
  <w:style w:type="paragraph" w:customStyle="1" w:styleId="BulletPara">
    <w:name w:val="Bullet Para"/>
    <w:basedOn w:val="apara"/>
    <w:qFormat/>
    <w:rsid w:val="003E2D0B"/>
    <w:pPr>
      <w:numPr>
        <w:numId w:val="6"/>
      </w:numPr>
      <w:ind w:left="1134" w:hanging="567"/>
    </w:pPr>
  </w:style>
  <w:style w:type="paragraph" w:customStyle="1" w:styleId="StyleCentered">
    <w:name w:val="Style Centered"/>
    <w:basedOn w:val="Normal"/>
    <w:rsid w:val="00364D20"/>
    <w:pPr>
      <w:jc w:val="center"/>
    </w:pPr>
  </w:style>
  <w:style w:type="character" w:customStyle="1" w:styleId="HeaderChar">
    <w:name w:val="Header Char"/>
    <w:basedOn w:val="DefaultParagraphFont"/>
    <w:link w:val="Header"/>
    <w:rsid w:val="00473905"/>
    <w:rPr>
      <w:noProof/>
      <w:sz w:val="24"/>
      <w:lang w:eastAsia="en-US"/>
    </w:rPr>
  </w:style>
  <w:style w:type="paragraph" w:styleId="BodyText">
    <w:name w:val="Body Text"/>
    <w:basedOn w:val="Normal"/>
    <w:link w:val="BodyTextChar"/>
    <w:rsid w:val="00473905"/>
    <w:pPr>
      <w:overflowPunct/>
      <w:autoSpaceDE/>
      <w:autoSpaceDN/>
      <w:adjustRightInd/>
      <w:jc w:val="both"/>
      <w:textAlignment w:val="auto"/>
    </w:pPr>
    <w:rPr>
      <w:rFonts w:ascii="Book Antiqua" w:hAnsi="Book Antiqua" w:cs="Arial"/>
      <w:color w:val="000000"/>
      <w:sz w:val="26"/>
      <w:szCs w:val="24"/>
    </w:rPr>
  </w:style>
  <w:style w:type="character" w:customStyle="1" w:styleId="BodyTextChar">
    <w:name w:val="Body Text Char"/>
    <w:basedOn w:val="DefaultParagraphFont"/>
    <w:link w:val="BodyText"/>
    <w:rsid w:val="00473905"/>
    <w:rPr>
      <w:rFonts w:ascii="Book Antiqua" w:hAnsi="Book Antiqua" w:cs="Arial"/>
      <w:color w:val="000000"/>
      <w:sz w:val="26"/>
      <w:szCs w:val="24"/>
      <w:lang w:eastAsia="en-US"/>
    </w:rPr>
  </w:style>
  <w:style w:type="paragraph" w:styleId="BodyTextIndent">
    <w:name w:val="Body Text Indent"/>
    <w:basedOn w:val="Normal"/>
    <w:link w:val="BodyTextIndentChar"/>
    <w:rsid w:val="00473905"/>
    <w:pPr>
      <w:overflowPunct/>
      <w:autoSpaceDE/>
      <w:autoSpaceDN/>
      <w:adjustRightInd/>
      <w:spacing w:after="120"/>
      <w:ind w:left="283"/>
      <w:textAlignment w:val="auto"/>
    </w:pPr>
    <w:rPr>
      <w:szCs w:val="24"/>
      <w:lang w:eastAsia="en-AU"/>
    </w:rPr>
  </w:style>
  <w:style w:type="character" w:customStyle="1" w:styleId="BodyTextIndentChar">
    <w:name w:val="Body Text Indent Char"/>
    <w:basedOn w:val="DefaultParagraphFont"/>
    <w:link w:val="BodyTextIndent"/>
    <w:rsid w:val="00473905"/>
    <w:rPr>
      <w:sz w:val="24"/>
      <w:szCs w:val="24"/>
    </w:rPr>
  </w:style>
  <w:style w:type="paragraph" w:styleId="BodyTextIndent2">
    <w:name w:val="Body Text Indent 2"/>
    <w:basedOn w:val="Normal"/>
    <w:link w:val="BodyTextIndent2Char"/>
    <w:rsid w:val="00473905"/>
    <w:pPr>
      <w:overflowPunct/>
      <w:autoSpaceDE/>
      <w:autoSpaceDN/>
      <w:adjustRightInd/>
      <w:spacing w:after="120" w:line="480" w:lineRule="auto"/>
      <w:ind w:left="283"/>
      <w:textAlignment w:val="auto"/>
    </w:pPr>
    <w:rPr>
      <w:szCs w:val="24"/>
      <w:lang w:eastAsia="en-AU"/>
    </w:rPr>
  </w:style>
  <w:style w:type="character" w:customStyle="1" w:styleId="BodyTextIndent2Char">
    <w:name w:val="Body Text Indent 2 Char"/>
    <w:basedOn w:val="DefaultParagraphFont"/>
    <w:link w:val="BodyTextIndent2"/>
    <w:rsid w:val="00473905"/>
    <w:rPr>
      <w:sz w:val="24"/>
      <w:szCs w:val="24"/>
    </w:rPr>
  </w:style>
  <w:style w:type="character" w:customStyle="1" w:styleId="BalloonTextChar">
    <w:name w:val="Balloon Text Char"/>
    <w:basedOn w:val="DefaultParagraphFont"/>
    <w:link w:val="BalloonText"/>
    <w:uiPriority w:val="99"/>
    <w:semiHidden/>
    <w:rsid w:val="00473905"/>
    <w:rPr>
      <w:rFonts w:ascii="Tahoma" w:hAnsi="Tahoma" w:cs="Tahoma"/>
      <w:noProof/>
      <w:sz w:val="16"/>
      <w:szCs w:val="16"/>
      <w:lang w:eastAsia="en-US"/>
    </w:rPr>
  </w:style>
  <w:style w:type="character" w:styleId="Hyperlink">
    <w:name w:val="Hyperlink"/>
    <w:basedOn w:val="DefaultParagraphFont"/>
    <w:uiPriority w:val="99"/>
    <w:unhideWhenUsed/>
    <w:rsid w:val="00473905"/>
    <w:rPr>
      <w:color w:val="0000FF"/>
      <w:u w:val="single"/>
    </w:rPr>
  </w:style>
  <w:style w:type="character" w:styleId="CommentReference">
    <w:name w:val="annotation reference"/>
    <w:basedOn w:val="DefaultParagraphFont"/>
    <w:uiPriority w:val="99"/>
    <w:semiHidden/>
    <w:unhideWhenUsed/>
    <w:rsid w:val="00473905"/>
    <w:rPr>
      <w:sz w:val="16"/>
      <w:szCs w:val="16"/>
    </w:rPr>
  </w:style>
  <w:style w:type="paragraph" w:styleId="CommentText">
    <w:name w:val="annotation text"/>
    <w:basedOn w:val="Normal"/>
    <w:link w:val="CommentTextChar"/>
    <w:uiPriority w:val="99"/>
    <w:semiHidden/>
    <w:unhideWhenUsed/>
    <w:rsid w:val="00473905"/>
    <w:rPr>
      <w:rFonts w:ascii="Book Antiqua" w:hAnsi="Book Antiqua"/>
      <w:sz w:val="20"/>
    </w:rPr>
  </w:style>
  <w:style w:type="character" w:customStyle="1" w:styleId="CommentTextChar">
    <w:name w:val="Comment Text Char"/>
    <w:basedOn w:val="DefaultParagraphFont"/>
    <w:link w:val="CommentText"/>
    <w:uiPriority w:val="99"/>
    <w:semiHidden/>
    <w:rsid w:val="00473905"/>
    <w:rPr>
      <w:rFonts w:ascii="Book Antiqua" w:hAnsi="Book Antiqua"/>
      <w:noProof/>
      <w:lang w:eastAsia="en-US"/>
    </w:rPr>
  </w:style>
  <w:style w:type="paragraph" w:styleId="CommentSubject">
    <w:name w:val="annotation subject"/>
    <w:basedOn w:val="CommentText"/>
    <w:next w:val="CommentText"/>
    <w:link w:val="CommentSubjectChar"/>
    <w:uiPriority w:val="99"/>
    <w:semiHidden/>
    <w:unhideWhenUsed/>
    <w:rsid w:val="00473905"/>
    <w:rPr>
      <w:b/>
      <w:bCs/>
    </w:rPr>
  </w:style>
  <w:style w:type="character" w:customStyle="1" w:styleId="CommentSubjectChar">
    <w:name w:val="Comment Subject Char"/>
    <w:basedOn w:val="CommentTextChar"/>
    <w:link w:val="CommentSubject"/>
    <w:uiPriority w:val="99"/>
    <w:semiHidden/>
    <w:rsid w:val="00473905"/>
    <w:rPr>
      <w:rFonts w:ascii="Book Antiqua" w:hAnsi="Book Antiqua"/>
      <w:b/>
      <w:bCs/>
      <w:noProof/>
      <w:lang w:eastAsia="en-US"/>
    </w:rPr>
  </w:style>
  <w:style w:type="character" w:customStyle="1" w:styleId="topheadingspan">
    <w:name w:val="topheadingspan"/>
    <w:basedOn w:val="DefaultParagraphFont"/>
    <w:rsid w:val="00473905"/>
    <w:rPr>
      <w:rFonts w:ascii="Times New Roman" w:hAnsi="Times New Roman" w:cs="Times New Roman" w:hint="default"/>
      <w:b/>
      <w:bCs/>
      <w:sz w:val="31"/>
      <w:szCs w:val="31"/>
    </w:rPr>
  </w:style>
  <w:style w:type="character" w:styleId="FollowedHyperlink">
    <w:name w:val="FollowedHyperlink"/>
    <w:basedOn w:val="DefaultParagraphFont"/>
    <w:uiPriority w:val="99"/>
    <w:semiHidden/>
    <w:unhideWhenUsed/>
    <w:rsid w:val="00473905"/>
    <w:rPr>
      <w:color w:val="800080" w:themeColor="followedHyperlink"/>
      <w:u w:val="single"/>
    </w:rPr>
  </w:style>
  <w:style w:type="paragraph" w:styleId="Revision">
    <w:name w:val="Revision"/>
    <w:hidden/>
    <w:uiPriority w:val="99"/>
    <w:semiHidden/>
    <w:rsid w:val="00473905"/>
    <w:rPr>
      <w:rFonts w:ascii="Book Antiqua" w:hAnsi="Book Antiqua"/>
      <w:noProof/>
      <w:sz w:val="24"/>
      <w:lang w:eastAsia="en-US"/>
    </w:rPr>
  </w:style>
  <w:style w:type="paragraph" w:customStyle="1" w:styleId="Default">
    <w:name w:val="Default"/>
    <w:rsid w:val="00473905"/>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59"/>
    <w:rsid w:val="006B70B6"/>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406">
      <w:bodyDiv w:val="1"/>
      <w:marLeft w:val="0"/>
      <w:marRight w:val="0"/>
      <w:marTop w:val="0"/>
      <w:marBottom w:val="0"/>
      <w:divBdr>
        <w:top w:val="none" w:sz="0" w:space="0" w:color="auto"/>
        <w:left w:val="none" w:sz="0" w:space="0" w:color="auto"/>
        <w:bottom w:val="none" w:sz="0" w:space="0" w:color="auto"/>
        <w:right w:val="none" w:sz="0" w:space="0" w:color="auto"/>
      </w:divBdr>
    </w:div>
    <w:div w:id="26953447">
      <w:bodyDiv w:val="1"/>
      <w:marLeft w:val="0"/>
      <w:marRight w:val="0"/>
      <w:marTop w:val="0"/>
      <w:marBottom w:val="0"/>
      <w:divBdr>
        <w:top w:val="none" w:sz="0" w:space="0" w:color="auto"/>
        <w:left w:val="none" w:sz="0" w:space="0" w:color="auto"/>
        <w:bottom w:val="none" w:sz="0" w:space="0" w:color="auto"/>
        <w:right w:val="none" w:sz="0" w:space="0" w:color="auto"/>
      </w:divBdr>
    </w:div>
    <w:div w:id="55517179">
      <w:bodyDiv w:val="1"/>
      <w:marLeft w:val="0"/>
      <w:marRight w:val="0"/>
      <w:marTop w:val="0"/>
      <w:marBottom w:val="0"/>
      <w:divBdr>
        <w:top w:val="none" w:sz="0" w:space="0" w:color="auto"/>
        <w:left w:val="none" w:sz="0" w:space="0" w:color="auto"/>
        <w:bottom w:val="none" w:sz="0" w:space="0" w:color="auto"/>
        <w:right w:val="none" w:sz="0" w:space="0" w:color="auto"/>
      </w:divBdr>
    </w:div>
    <w:div w:id="69279441">
      <w:bodyDiv w:val="1"/>
      <w:marLeft w:val="0"/>
      <w:marRight w:val="0"/>
      <w:marTop w:val="0"/>
      <w:marBottom w:val="0"/>
      <w:divBdr>
        <w:top w:val="none" w:sz="0" w:space="0" w:color="auto"/>
        <w:left w:val="none" w:sz="0" w:space="0" w:color="auto"/>
        <w:bottom w:val="none" w:sz="0" w:space="0" w:color="auto"/>
        <w:right w:val="none" w:sz="0" w:space="0" w:color="auto"/>
      </w:divBdr>
    </w:div>
    <w:div w:id="164706897">
      <w:bodyDiv w:val="1"/>
      <w:marLeft w:val="0"/>
      <w:marRight w:val="0"/>
      <w:marTop w:val="0"/>
      <w:marBottom w:val="0"/>
      <w:divBdr>
        <w:top w:val="none" w:sz="0" w:space="0" w:color="auto"/>
        <w:left w:val="none" w:sz="0" w:space="0" w:color="auto"/>
        <w:bottom w:val="none" w:sz="0" w:space="0" w:color="auto"/>
        <w:right w:val="none" w:sz="0" w:space="0" w:color="auto"/>
      </w:divBdr>
      <w:divsChild>
        <w:div w:id="757866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793070">
      <w:bodyDiv w:val="1"/>
      <w:marLeft w:val="0"/>
      <w:marRight w:val="0"/>
      <w:marTop w:val="0"/>
      <w:marBottom w:val="0"/>
      <w:divBdr>
        <w:top w:val="none" w:sz="0" w:space="0" w:color="auto"/>
        <w:left w:val="none" w:sz="0" w:space="0" w:color="auto"/>
        <w:bottom w:val="none" w:sz="0" w:space="0" w:color="auto"/>
        <w:right w:val="none" w:sz="0" w:space="0" w:color="auto"/>
      </w:divBdr>
    </w:div>
    <w:div w:id="291525462">
      <w:bodyDiv w:val="1"/>
      <w:marLeft w:val="0"/>
      <w:marRight w:val="0"/>
      <w:marTop w:val="0"/>
      <w:marBottom w:val="0"/>
      <w:divBdr>
        <w:top w:val="none" w:sz="0" w:space="0" w:color="auto"/>
        <w:left w:val="none" w:sz="0" w:space="0" w:color="auto"/>
        <w:bottom w:val="none" w:sz="0" w:space="0" w:color="auto"/>
        <w:right w:val="none" w:sz="0" w:space="0" w:color="auto"/>
      </w:divBdr>
    </w:div>
    <w:div w:id="458571117">
      <w:bodyDiv w:val="1"/>
      <w:marLeft w:val="0"/>
      <w:marRight w:val="0"/>
      <w:marTop w:val="0"/>
      <w:marBottom w:val="0"/>
      <w:divBdr>
        <w:top w:val="none" w:sz="0" w:space="0" w:color="auto"/>
        <w:left w:val="none" w:sz="0" w:space="0" w:color="auto"/>
        <w:bottom w:val="none" w:sz="0" w:space="0" w:color="auto"/>
        <w:right w:val="none" w:sz="0" w:space="0" w:color="auto"/>
      </w:divBdr>
    </w:div>
    <w:div w:id="534466705">
      <w:bodyDiv w:val="1"/>
      <w:marLeft w:val="0"/>
      <w:marRight w:val="0"/>
      <w:marTop w:val="0"/>
      <w:marBottom w:val="0"/>
      <w:divBdr>
        <w:top w:val="none" w:sz="0" w:space="0" w:color="auto"/>
        <w:left w:val="none" w:sz="0" w:space="0" w:color="auto"/>
        <w:bottom w:val="none" w:sz="0" w:space="0" w:color="auto"/>
        <w:right w:val="none" w:sz="0" w:space="0" w:color="auto"/>
      </w:divBdr>
    </w:div>
    <w:div w:id="540174197">
      <w:bodyDiv w:val="1"/>
      <w:marLeft w:val="0"/>
      <w:marRight w:val="0"/>
      <w:marTop w:val="0"/>
      <w:marBottom w:val="0"/>
      <w:divBdr>
        <w:top w:val="none" w:sz="0" w:space="0" w:color="auto"/>
        <w:left w:val="none" w:sz="0" w:space="0" w:color="auto"/>
        <w:bottom w:val="none" w:sz="0" w:space="0" w:color="auto"/>
        <w:right w:val="none" w:sz="0" w:space="0" w:color="auto"/>
      </w:divBdr>
    </w:div>
    <w:div w:id="545992227">
      <w:bodyDiv w:val="1"/>
      <w:marLeft w:val="0"/>
      <w:marRight w:val="0"/>
      <w:marTop w:val="0"/>
      <w:marBottom w:val="0"/>
      <w:divBdr>
        <w:top w:val="none" w:sz="0" w:space="0" w:color="auto"/>
        <w:left w:val="none" w:sz="0" w:space="0" w:color="auto"/>
        <w:bottom w:val="none" w:sz="0" w:space="0" w:color="auto"/>
        <w:right w:val="none" w:sz="0" w:space="0" w:color="auto"/>
      </w:divBdr>
    </w:div>
    <w:div w:id="554897597">
      <w:bodyDiv w:val="1"/>
      <w:marLeft w:val="0"/>
      <w:marRight w:val="0"/>
      <w:marTop w:val="0"/>
      <w:marBottom w:val="0"/>
      <w:divBdr>
        <w:top w:val="none" w:sz="0" w:space="0" w:color="auto"/>
        <w:left w:val="none" w:sz="0" w:space="0" w:color="auto"/>
        <w:bottom w:val="none" w:sz="0" w:space="0" w:color="auto"/>
        <w:right w:val="none" w:sz="0" w:space="0" w:color="auto"/>
      </w:divBdr>
    </w:div>
    <w:div w:id="664161667">
      <w:bodyDiv w:val="1"/>
      <w:marLeft w:val="0"/>
      <w:marRight w:val="0"/>
      <w:marTop w:val="0"/>
      <w:marBottom w:val="0"/>
      <w:divBdr>
        <w:top w:val="none" w:sz="0" w:space="0" w:color="auto"/>
        <w:left w:val="none" w:sz="0" w:space="0" w:color="auto"/>
        <w:bottom w:val="none" w:sz="0" w:space="0" w:color="auto"/>
        <w:right w:val="none" w:sz="0" w:space="0" w:color="auto"/>
      </w:divBdr>
    </w:div>
    <w:div w:id="748036860">
      <w:bodyDiv w:val="1"/>
      <w:marLeft w:val="0"/>
      <w:marRight w:val="0"/>
      <w:marTop w:val="0"/>
      <w:marBottom w:val="0"/>
      <w:divBdr>
        <w:top w:val="none" w:sz="0" w:space="0" w:color="auto"/>
        <w:left w:val="none" w:sz="0" w:space="0" w:color="auto"/>
        <w:bottom w:val="none" w:sz="0" w:space="0" w:color="auto"/>
        <w:right w:val="none" w:sz="0" w:space="0" w:color="auto"/>
      </w:divBdr>
    </w:div>
    <w:div w:id="765155191">
      <w:bodyDiv w:val="1"/>
      <w:marLeft w:val="0"/>
      <w:marRight w:val="0"/>
      <w:marTop w:val="0"/>
      <w:marBottom w:val="0"/>
      <w:divBdr>
        <w:top w:val="none" w:sz="0" w:space="0" w:color="auto"/>
        <w:left w:val="none" w:sz="0" w:space="0" w:color="auto"/>
        <w:bottom w:val="none" w:sz="0" w:space="0" w:color="auto"/>
        <w:right w:val="none" w:sz="0" w:space="0" w:color="auto"/>
      </w:divBdr>
    </w:div>
    <w:div w:id="888683237">
      <w:bodyDiv w:val="1"/>
      <w:marLeft w:val="0"/>
      <w:marRight w:val="0"/>
      <w:marTop w:val="0"/>
      <w:marBottom w:val="0"/>
      <w:divBdr>
        <w:top w:val="none" w:sz="0" w:space="0" w:color="auto"/>
        <w:left w:val="none" w:sz="0" w:space="0" w:color="auto"/>
        <w:bottom w:val="none" w:sz="0" w:space="0" w:color="auto"/>
        <w:right w:val="none" w:sz="0" w:space="0" w:color="auto"/>
      </w:divBdr>
    </w:div>
    <w:div w:id="1251768455">
      <w:bodyDiv w:val="1"/>
      <w:marLeft w:val="0"/>
      <w:marRight w:val="0"/>
      <w:marTop w:val="0"/>
      <w:marBottom w:val="0"/>
      <w:divBdr>
        <w:top w:val="none" w:sz="0" w:space="0" w:color="auto"/>
        <w:left w:val="none" w:sz="0" w:space="0" w:color="auto"/>
        <w:bottom w:val="none" w:sz="0" w:space="0" w:color="auto"/>
        <w:right w:val="none" w:sz="0" w:space="0" w:color="auto"/>
      </w:divBdr>
    </w:div>
    <w:div w:id="1361394708">
      <w:bodyDiv w:val="1"/>
      <w:marLeft w:val="0"/>
      <w:marRight w:val="0"/>
      <w:marTop w:val="0"/>
      <w:marBottom w:val="0"/>
      <w:divBdr>
        <w:top w:val="none" w:sz="0" w:space="0" w:color="auto"/>
        <w:left w:val="none" w:sz="0" w:space="0" w:color="auto"/>
        <w:bottom w:val="none" w:sz="0" w:space="0" w:color="auto"/>
        <w:right w:val="none" w:sz="0" w:space="0" w:color="auto"/>
      </w:divBdr>
    </w:div>
    <w:div w:id="1452359219">
      <w:bodyDiv w:val="1"/>
      <w:marLeft w:val="0"/>
      <w:marRight w:val="0"/>
      <w:marTop w:val="0"/>
      <w:marBottom w:val="0"/>
      <w:divBdr>
        <w:top w:val="none" w:sz="0" w:space="0" w:color="auto"/>
        <w:left w:val="none" w:sz="0" w:space="0" w:color="auto"/>
        <w:bottom w:val="none" w:sz="0" w:space="0" w:color="auto"/>
        <w:right w:val="none" w:sz="0" w:space="0" w:color="auto"/>
      </w:divBdr>
      <w:divsChild>
        <w:div w:id="2060664768">
          <w:marLeft w:val="0"/>
          <w:marRight w:val="0"/>
          <w:marTop w:val="0"/>
          <w:marBottom w:val="0"/>
          <w:divBdr>
            <w:top w:val="none" w:sz="0" w:space="0" w:color="auto"/>
            <w:left w:val="none" w:sz="0" w:space="0" w:color="auto"/>
            <w:bottom w:val="none" w:sz="0" w:space="0" w:color="auto"/>
            <w:right w:val="none" w:sz="0" w:space="0" w:color="auto"/>
          </w:divBdr>
          <w:divsChild>
            <w:div w:id="2080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7949">
      <w:bodyDiv w:val="1"/>
      <w:marLeft w:val="0"/>
      <w:marRight w:val="0"/>
      <w:marTop w:val="0"/>
      <w:marBottom w:val="0"/>
      <w:divBdr>
        <w:top w:val="none" w:sz="0" w:space="0" w:color="auto"/>
        <w:left w:val="none" w:sz="0" w:space="0" w:color="auto"/>
        <w:bottom w:val="none" w:sz="0" w:space="0" w:color="auto"/>
        <w:right w:val="none" w:sz="0" w:space="0" w:color="auto"/>
      </w:divBdr>
    </w:div>
    <w:div w:id="1546024991">
      <w:bodyDiv w:val="1"/>
      <w:marLeft w:val="0"/>
      <w:marRight w:val="0"/>
      <w:marTop w:val="0"/>
      <w:marBottom w:val="0"/>
      <w:divBdr>
        <w:top w:val="none" w:sz="0" w:space="0" w:color="auto"/>
        <w:left w:val="none" w:sz="0" w:space="0" w:color="auto"/>
        <w:bottom w:val="none" w:sz="0" w:space="0" w:color="auto"/>
        <w:right w:val="none" w:sz="0" w:space="0" w:color="auto"/>
      </w:divBdr>
    </w:div>
    <w:div w:id="1621497144">
      <w:bodyDiv w:val="1"/>
      <w:marLeft w:val="0"/>
      <w:marRight w:val="0"/>
      <w:marTop w:val="0"/>
      <w:marBottom w:val="0"/>
      <w:divBdr>
        <w:top w:val="none" w:sz="0" w:space="0" w:color="auto"/>
        <w:left w:val="none" w:sz="0" w:space="0" w:color="auto"/>
        <w:bottom w:val="none" w:sz="0" w:space="0" w:color="auto"/>
        <w:right w:val="none" w:sz="0" w:space="0" w:color="auto"/>
      </w:divBdr>
    </w:div>
    <w:div w:id="1679962184">
      <w:bodyDiv w:val="1"/>
      <w:marLeft w:val="0"/>
      <w:marRight w:val="0"/>
      <w:marTop w:val="0"/>
      <w:marBottom w:val="0"/>
      <w:divBdr>
        <w:top w:val="none" w:sz="0" w:space="0" w:color="auto"/>
        <w:left w:val="none" w:sz="0" w:space="0" w:color="auto"/>
        <w:bottom w:val="none" w:sz="0" w:space="0" w:color="auto"/>
        <w:right w:val="none" w:sz="0" w:space="0" w:color="auto"/>
      </w:divBdr>
    </w:div>
    <w:div w:id="1782457231">
      <w:bodyDiv w:val="1"/>
      <w:marLeft w:val="0"/>
      <w:marRight w:val="0"/>
      <w:marTop w:val="0"/>
      <w:marBottom w:val="0"/>
      <w:divBdr>
        <w:top w:val="none" w:sz="0" w:space="0" w:color="auto"/>
        <w:left w:val="none" w:sz="0" w:space="0" w:color="auto"/>
        <w:bottom w:val="none" w:sz="0" w:space="0" w:color="auto"/>
        <w:right w:val="none" w:sz="0" w:space="0" w:color="auto"/>
      </w:divBdr>
    </w:div>
    <w:div w:id="1878347396">
      <w:bodyDiv w:val="1"/>
      <w:marLeft w:val="0"/>
      <w:marRight w:val="0"/>
      <w:marTop w:val="0"/>
      <w:marBottom w:val="0"/>
      <w:divBdr>
        <w:top w:val="none" w:sz="0" w:space="0" w:color="auto"/>
        <w:left w:val="none" w:sz="0" w:space="0" w:color="auto"/>
        <w:bottom w:val="none" w:sz="0" w:space="0" w:color="auto"/>
        <w:right w:val="none" w:sz="0" w:space="0" w:color="auto"/>
      </w:divBdr>
      <w:divsChild>
        <w:div w:id="1756397340">
          <w:marLeft w:val="0"/>
          <w:marRight w:val="0"/>
          <w:marTop w:val="0"/>
          <w:marBottom w:val="0"/>
          <w:divBdr>
            <w:top w:val="none" w:sz="0" w:space="0" w:color="auto"/>
            <w:left w:val="none" w:sz="0" w:space="0" w:color="auto"/>
            <w:bottom w:val="none" w:sz="0" w:space="0" w:color="auto"/>
            <w:right w:val="none" w:sz="0" w:space="0" w:color="auto"/>
          </w:divBdr>
          <w:divsChild>
            <w:div w:id="1686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ADVISINGS\Annual%20Report%20-%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F7AE-89F2-442C-9983-41C4CBCB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 Cover page.dotx</Template>
  <TotalTime>2</TotalTime>
  <Pages>12</Pages>
  <Words>3908</Words>
  <Characters>20443</Characters>
  <Application>Microsoft Office Word</Application>
  <DocSecurity>0</DocSecurity>
  <Lines>638</Lines>
  <Paragraphs>427</Paragraphs>
  <ScaleCrop>false</ScaleCrop>
  <HeadingPairs>
    <vt:vector size="2" baseType="variant">
      <vt:variant>
        <vt:lpstr>Title</vt:lpstr>
      </vt:variant>
      <vt:variant>
        <vt:i4>1</vt:i4>
      </vt:variant>
    </vt:vector>
  </HeadingPairs>
  <TitlesOfParts>
    <vt:vector size="1" baseType="lpstr">
      <vt:lpstr>Our reference:</vt:lpstr>
    </vt:vector>
  </TitlesOfParts>
  <Company>DOJIR</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dc:title>
  <dc:subject/>
  <dc:creator>Reed, Melissa</dc:creator>
  <cp:keywords/>
  <cp:lastModifiedBy>Coetzee, Heather</cp:lastModifiedBy>
  <cp:revision>4</cp:revision>
  <cp:lastPrinted>2023-09-28T06:38:00Z</cp:lastPrinted>
  <dcterms:created xsi:type="dcterms:W3CDTF">2023-11-26T23:29:00Z</dcterms:created>
  <dcterms:modified xsi:type="dcterms:W3CDTF">2023-11-27T04:25:00Z</dcterms:modified>
</cp:coreProperties>
</file>